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4149" w14:textId="77777777" w:rsidR="00CA3C1F" w:rsidRDefault="00000000" w:rsidP="00780E6C">
      <w:pPr>
        <w:pStyle w:val="Heading0"/>
        <w:spacing w:before="360"/>
      </w:pPr>
      <w:bookmarkStart w:id="0" w:name="UUID4615309e94e581c9c4e6870b8165ed75"/>
      <w:r>
        <w:t>Section 084113: ENTRÉES ET DEVANTURES DE MAGASINS AVEC CADRES EN ALUMINIUM</w:t>
      </w:r>
      <w:bookmarkEnd w:id="0"/>
    </w:p>
    <w:p w14:paraId="52BE5766" w14:textId="77777777" w:rsidR="00CA3C1F"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08B08567" w14:textId="09A65153" w:rsidR="00CA3C1F" w:rsidRDefault="00780E6C">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76FA6534" w14:textId="77777777" w:rsidR="00CA3C1F" w:rsidRDefault="00000000">
      <w:pPr>
        <w:pStyle w:val="Heading1"/>
      </w:pPr>
      <w:bookmarkStart w:id="1" w:name="UUIDa12e608f3cf58a9da8e70acdc0f7c2f9"/>
      <w:r>
        <w:t>GÉNÉRALITÉS</w:t>
      </w:r>
      <w:bookmarkEnd w:id="1"/>
    </w:p>
    <w:p w14:paraId="7F098335" w14:textId="77777777" w:rsidR="00CA3C1F" w:rsidRDefault="00000000">
      <w:pPr>
        <w:pStyle w:val="Heading2"/>
      </w:pPr>
      <w:bookmarkStart w:id="2" w:name="UUID0be91d49eefaea9f799ee736598523dc"/>
      <w:r>
        <w:t>Documents connexes</w:t>
      </w:r>
      <w:bookmarkEnd w:id="2"/>
    </w:p>
    <w:p w14:paraId="2AFB8A42" w14:textId="77777777" w:rsidR="00CA3C1F" w:rsidRDefault="00000000">
      <w:pPr>
        <w:pStyle w:val="Heading3"/>
      </w:pPr>
      <w:r>
        <w:t>Les dessins et les dispositions générales du contrat, y compris les sections Conditions générales et supplémentaires et Spécifications Division 01, s’appliquent à cette section.</w:t>
      </w:r>
    </w:p>
    <w:p w14:paraId="0EF3BF26" w14:textId="77777777" w:rsidR="00CA3C1F" w:rsidRDefault="00000000">
      <w:pPr>
        <w:pStyle w:val="Heading2"/>
      </w:pPr>
      <w:bookmarkStart w:id="3" w:name="UUIDda86af9c5a854aace88527d8e59209bf"/>
      <w:r>
        <w:t>Sommaire</w:t>
      </w:r>
      <w:bookmarkEnd w:id="3"/>
    </w:p>
    <w:p w14:paraId="37F8DEFC" w14:textId="77777777" w:rsidR="00CA3C1F" w:rsidRDefault="00000000">
      <w:pPr>
        <w:pStyle w:val="Heading3"/>
      </w:pPr>
      <w:r>
        <w:t>Cette section couvre les entrées avec cadres en aluminium de Kawneer, y compris verre et vitrage, ainsi que quincailleries et composants de porte.</w:t>
      </w:r>
    </w:p>
    <w:p w14:paraId="618F3CA4" w14:textId="77777777" w:rsidR="00CA3C1F" w:rsidRDefault="00000000">
      <w:pPr>
        <w:pStyle w:val="Heading3"/>
      </w:pPr>
      <w:r>
        <w:t>Les types d’entrées avec cadres en aluminium de Kawneer comprennent :</w:t>
      </w:r>
    </w:p>
    <w:p w14:paraId="4F164A47" w14:textId="77777777" w:rsidR="00CA3C1F" w:rsidRDefault="00000000">
      <w:pPr>
        <w:pStyle w:val="Heading4"/>
      </w:pPr>
      <w:r>
        <w:t>NX-8900 Portes de Terrasse:</w:t>
      </w:r>
    </w:p>
    <w:p w14:paraId="252C5272" w14:textId="77777777" w:rsidR="00CA3C1F" w:rsidRDefault="00000000">
      <w:pPr>
        <w:pStyle w:val="Heading5"/>
      </w:pPr>
      <w:r>
        <w:t>Dimensions et applications :</w:t>
      </w:r>
    </w:p>
    <w:p w14:paraId="3063B249" w14:textId="77777777" w:rsidR="00CA3C1F" w:rsidRDefault="00000000">
      <w:pPr>
        <w:pStyle w:val="Heading6"/>
      </w:pPr>
      <w:r>
        <w:t>Profondeur de cadre : 3-1/4" (82,5 mm) ou 4-5/8" (117,5 mm )</w:t>
      </w:r>
    </w:p>
    <w:p w14:paraId="7BBB704F" w14:textId="77777777" w:rsidR="00CA3C1F" w:rsidRDefault="00000000">
      <w:pPr>
        <w:pStyle w:val="Heading6"/>
      </w:pPr>
      <w:r>
        <w:t>Les applications à circulation moyenne</w:t>
      </w:r>
    </w:p>
    <w:p w14:paraId="60D08613" w14:textId="77777777" w:rsidR="00CA3C1F" w:rsidRDefault="00000000">
      <w:pPr>
        <w:pStyle w:val="Heading5"/>
      </w:pPr>
      <w:r>
        <w:t>Portes simples s’ouvrant vers l’extérieur :</w:t>
      </w:r>
    </w:p>
    <w:p w14:paraId="3AB47F03" w14:textId="77777777" w:rsidR="00CA3C1F" w:rsidRDefault="00000000">
      <w:pPr>
        <w:pStyle w:val="Heading6"/>
      </w:pPr>
      <w:r>
        <w:t>Cadre de 4 po (101,6 mm); AW-PG90-ATD</w:t>
      </w:r>
    </w:p>
    <w:p w14:paraId="39797673" w14:textId="77777777" w:rsidR="00CA3C1F" w:rsidRDefault="00000000">
      <w:pPr>
        <w:pStyle w:val="Heading6"/>
      </w:pPr>
      <w:r>
        <w:t>Cadre de 5 po (127,0 mm); AW-PG90-ATD</w:t>
      </w:r>
    </w:p>
    <w:p w14:paraId="03C1E3E3" w14:textId="77777777" w:rsidR="00CA3C1F" w:rsidRDefault="00000000">
      <w:pPr>
        <w:pStyle w:val="Heading6"/>
      </w:pPr>
      <w:r>
        <w:t>Cadre de 4 po (101,6 mm); avec base à profil bas : AW-PG90-ATD</w:t>
      </w:r>
    </w:p>
    <w:p w14:paraId="4050213B" w14:textId="77777777" w:rsidR="00CA3C1F" w:rsidRDefault="00000000">
      <w:pPr>
        <w:pStyle w:val="Heading6"/>
      </w:pPr>
      <w:r>
        <w:t>Profondeur de 2-3/4" (69,8 mm)</w:t>
      </w:r>
    </w:p>
    <w:p w14:paraId="5D179CE3" w14:textId="77777777" w:rsidR="00CA3C1F" w:rsidRDefault="00000000">
      <w:pPr>
        <w:pStyle w:val="Heading5"/>
      </w:pPr>
      <w:r>
        <w:t>Portes simples s’ouvrant vers l’intérieur :</w:t>
      </w:r>
    </w:p>
    <w:p w14:paraId="6DEAA31A" w14:textId="77777777" w:rsidR="00CA3C1F" w:rsidRDefault="00000000">
      <w:pPr>
        <w:pStyle w:val="Heading6"/>
      </w:pPr>
      <w:r>
        <w:t>Cadre de 4 po (101,6 mm); AW-PG90-ATD</w:t>
      </w:r>
    </w:p>
    <w:p w14:paraId="5D801933" w14:textId="77777777" w:rsidR="00CA3C1F" w:rsidRDefault="00000000">
      <w:pPr>
        <w:pStyle w:val="Heading6"/>
      </w:pPr>
      <w:r>
        <w:t>Profondeur de 2-3/4" (69,8 mm)</w:t>
      </w:r>
    </w:p>
    <w:p w14:paraId="1653A401" w14:textId="77777777" w:rsidR="00CA3C1F" w:rsidRDefault="00000000">
      <w:pPr>
        <w:pStyle w:val="Heading3"/>
      </w:pPr>
      <w:r>
        <w:t>Sections connexes :</w:t>
      </w:r>
    </w:p>
    <w:p w14:paraId="7B717B67" w14:textId="4C8A8A09" w:rsidR="00CA3C1F" w:rsidRDefault="00780E6C">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4B981973" w14:textId="77777777" w:rsidR="00CA3C1F" w:rsidRDefault="00000000">
      <w:pPr>
        <w:pStyle w:val="Heading4"/>
      </w:pPr>
      <w:r>
        <w:t>072700 : Pare-air</w:t>
      </w:r>
    </w:p>
    <w:p w14:paraId="25153482" w14:textId="77777777" w:rsidR="00CA3C1F" w:rsidRDefault="00000000">
      <w:pPr>
        <w:pStyle w:val="Heading4"/>
      </w:pPr>
      <w:r>
        <w:t>079200 : Mastics de joints</w:t>
      </w:r>
    </w:p>
    <w:p w14:paraId="398C3000" w14:textId="77777777" w:rsidR="00CA3C1F" w:rsidRDefault="00000000">
      <w:pPr>
        <w:pStyle w:val="Heading4"/>
      </w:pPr>
      <w:r>
        <w:t>083213 : Portes vitrées coulissantes à cadre en aluminium</w:t>
      </w:r>
    </w:p>
    <w:p w14:paraId="521A427F" w14:textId="77777777" w:rsidR="00CA3C1F" w:rsidRDefault="00000000">
      <w:pPr>
        <w:pStyle w:val="Heading4"/>
      </w:pPr>
      <w:r>
        <w:lastRenderedPageBreak/>
        <w:t>084313 : Vitrines à cadre en aluminium</w:t>
      </w:r>
    </w:p>
    <w:p w14:paraId="5475DB73" w14:textId="77777777" w:rsidR="00CA3C1F" w:rsidRDefault="00000000">
      <w:pPr>
        <w:pStyle w:val="Heading4"/>
      </w:pPr>
      <w:r>
        <w:t>084329 : Vitrines coulissantes</w:t>
      </w:r>
    </w:p>
    <w:p w14:paraId="4870B866" w14:textId="77777777" w:rsidR="00CA3C1F" w:rsidRDefault="00000000">
      <w:pPr>
        <w:pStyle w:val="Heading4"/>
      </w:pPr>
      <w:r>
        <w:t>084413 : Murs-rideaux vitrés en aluminium</w:t>
      </w:r>
    </w:p>
    <w:p w14:paraId="275EF0EE" w14:textId="77777777" w:rsidR="00CA3C1F" w:rsidRDefault="00000000">
      <w:pPr>
        <w:pStyle w:val="Heading4"/>
      </w:pPr>
      <w:r>
        <w:t>085113 : Fenêtres en aluminium</w:t>
      </w:r>
    </w:p>
    <w:p w14:paraId="004DA611" w14:textId="77777777" w:rsidR="00CA3C1F" w:rsidRDefault="00000000">
      <w:pPr>
        <w:pStyle w:val="Heading4"/>
      </w:pPr>
      <w:r>
        <w:t>086300 : Lanterneau à cadre en métal</w:t>
      </w:r>
    </w:p>
    <w:p w14:paraId="3DE89838" w14:textId="77777777" w:rsidR="00CA3C1F" w:rsidRDefault="00000000">
      <w:pPr>
        <w:pStyle w:val="Heading4"/>
      </w:pPr>
      <w:r>
        <w:t>087000 : Matériel</w:t>
      </w:r>
    </w:p>
    <w:p w14:paraId="1F245F1C" w14:textId="77777777" w:rsidR="00CA3C1F" w:rsidRDefault="00000000">
      <w:pPr>
        <w:pStyle w:val="Heading4"/>
      </w:pPr>
      <w:r>
        <w:t>088000 : Vitrage</w:t>
      </w:r>
    </w:p>
    <w:p w14:paraId="516170F7" w14:textId="77777777" w:rsidR="00CA3C1F" w:rsidRDefault="00000000">
      <w:pPr>
        <w:pStyle w:val="Heading4"/>
      </w:pPr>
      <w:r>
        <w:t>280000 : Sécurité électronique</w:t>
      </w:r>
    </w:p>
    <w:p w14:paraId="22378BA0" w14:textId="77777777" w:rsidR="00CA3C1F" w:rsidRDefault="00000000">
      <w:pPr>
        <w:pStyle w:val="Heading2"/>
      </w:pPr>
      <w:bookmarkStart w:id="4" w:name="UUID8674e5ea7cfa2bc334b6e5b27f37a7c2"/>
      <w:r>
        <w:t>Définitions</w:t>
      </w:r>
      <w:bookmarkEnd w:id="4"/>
    </w:p>
    <w:p w14:paraId="47F42F13" w14:textId="77777777" w:rsidR="00CA3C1F" w:rsidRDefault="00000000">
      <w:pPr>
        <w:pStyle w:val="Heading3"/>
      </w:pPr>
      <w:r>
        <w:t>Pour la terminologie standard et les définitions de l’industrie de la fenestration, reportez-vous à l’Fenestration &amp; Glazing Industry Alliance (FGIA) Glossary (AAMA AG-13) (en langue anglaise).</w:t>
      </w:r>
    </w:p>
    <w:p w14:paraId="7DBEBD59" w14:textId="77777777" w:rsidR="00CA3C1F" w:rsidRDefault="00000000">
      <w:pPr>
        <w:pStyle w:val="Heading2"/>
      </w:pPr>
      <w:bookmarkStart w:id="5" w:name="UUIDe6cc7ed9cb68460e8f3d777a3bd574fa"/>
      <w:r>
        <w:t>Exigences de performance</w:t>
      </w:r>
      <w:bookmarkEnd w:id="5"/>
    </w:p>
    <w:p w14:paraId="1972EA2F" w14:textId="77777777" w:rsidR="00CA3C1F" w:rsidRDefault="00000000">
      <w:pPr>
        <w:pStyle w:val="Heading3"/>
      </w:pPr>
      <w:r>
        <w:t>Performances générales :</w:t>
      </w:r>
    </w:p>
    <w:p w14:paraId="688EC172" w14:textId="77777777" w:rsidR="00CA3C1F" w:rsidRDefault="00000000">
      <w:pPr>
        <w:pStyle w:val="Heading4"/>
      </w:pPr>
      <w:r>
        <w:t>Respecter les exigences de performance spécifiées, tel que déterminé par un test de portes de terrasse vitrées correspondant à celles indiquées pour ce projet sans défaillance causée par un défaut de fabrication, d'installation ou de construction.</w:t>
      </w:r>
    </w:p>
    <w:p w14:paraId="47A03158" w14:textId="77777777" w:rsidR="00CA3C1F" w:rsidRDefault="00000000">
      <w:pPr>
        <w:pStyle w:val="Heading3"/>
      </w:pPr>
      <w:r>
        <w:t>Fournir des portes de terrasse avec cadres en aluminium offrant le rendement indiqué, conformément aux normes AAMA/WDMA/CSA 101/I.S.2/A440 (NAFS).</w:t>
      </w:r>
    </w:p>
    <w:p w14:paraId="6791CB44" w14:textId="77777777" w:rsidR="00CA3C1F" w:rsidRDefault="00000000">
      <w:pPr>
        <w:pStyle w:val="Heading3"/>
      </w:pPr>
      <w:r>
        <w:t>Fuite d'air :</w:t>
      </w:r>
    </w:p>
    <w:p w14:paraId="5F2FE8C9" w14:textId="77777777" w:rsidR="00CA3C1F" w:rsidRDefault="00000000">
      <w:pPr>
        <w:pStyle w:val="Heading4"/>
      </w:pPr>
      <w:r>
        <w:t>Portes s’ouvrant vers l'extérieur et vers l'intérieur : Lorsque fermé et verrouillé, l'échantillon doit être soumis aux essais effectués conformément à la norme ASTM E 283 à une pression différentielle de 6,2 psf (300 Pa).</w:t>
      </w:r>
    </w:p>
    <w:p w14:paraId="4C02553D" w14:textId="77777777" w:rsidR="00CA3C1F" w:rsidRDefault="00000000">
      <w:pPr>
        <w:pStyle w:val="Heading4"/>
      </w:pPr>
      <w:r>
        <w:t>Pour les portes d'entrées et le cadre, le niveau d'infiltration d'air ne doit pas être supérieur à 0,30 cfm/ft</w:t>
      </w:r>
      <w:r>
        <w:rPr>
          <w:vertAlign w:val="superscript"/>
        </w:rPr>
        <w:t>2</w:t>
      </w:r>
      <w:r>
        <w:t>.</w:t>
      </w:r>
    </w:p>
    <w:p w14:paraId="108CE66C" w14:textId="77777777" w:rsidR="00CA3C1F" w:rsidRDefault="00000000">
      <w:pPr>
        <w:pStyle w:val="Heading3"/>
      </w:pPr>
      <w:r>
        <w:t>Résistance à l'eau :</w:t>
      </w:r>
    </w:p>
    <w:p w14:paraId="087067DF" w14:textId="77777777" w:rsidR="00CA3C1F" w:rsidRDefault="00000000">
      <w:pPr>
        <w:pStyle w:val="Heading4"/>
      </w:pPr>
      <w:r>
        <w:t>Lorsque fermé et verrouillé, l'échantillon doit être soumis aux essais effectués conformément aux normes ASTM E 331 et ASTM E 547.</w:t>
      </w:r>
    </w:p>
    <w:p w14:paraId="5B4D970C" w14:textId="77777777" w:rsidR="00CA3C1F" w:rsidRDefault="00000000">
      <w:pPr>
        <w:pStyle w:val="Heading4"/>
      </w:pPr>
      <w:r>
        <w:t>Il ne doit pas y avoir de fuite d'eau incontrôlée, telle que définie dans la méthode d'essai, à une pression statique différentielle de 12psf (575 Pa).</w:t>
      </w:r>
    </w:p>
    <w:p w14:paraId="4AA89AAC" w14:textId="77777777" w:rsidR="00CA3C1F" w:rsidRDefault="00000000">
      <w:pPr>
        <w:pStyle w:val="Heading5"/>
      </w:pPr>
      <w:r>
        <w:t>NX-8910 Portes de terrasse (extérieures).</w:t>
      </w:r>
    </w:p>
    <w:p w14:paraId="4142A73B" w14:textId="77777777" w:rsidR="00CA3C1F" w:rsidRDefault="00000000">
      <w:pPr>
        <w:pStyle w:val="Heading6"/>
      </w:pPr>
      <w:r>
        <w:t>AW-PG50-ATD Simple (seuil standard) 10 lb/pi² (480 Pa).</w:t>
      </w:r>
    </w:p>
    <w:p w14:paraId="351647BE" w14:textId="77777777" w:rsidR="00CA3C1F" w:rsidRDefault="00000000">
      <w:pPr>
        <w:pStyle w:val="Heading6"/>
      </w:pPr>
      <w:r>
        <w:t>ATD-HC45 Paire (seuil standard) 9,2 lb/pi² (440 Pa).</w:t>
      </w:r>
    </w:p>
    <w:p w14:paraId="32CB1E8A" w14:textId="77777777" w:rsidR="00CA3C1F" w:rsidRDefault="00000000">
      <w:pPr>
        <w:pStyle w:val="Heading6"/>
      </w:pPr>
      <w:r>
        <w:t>ATD-HC45 Simple (seuil à profil bas) 9,2 lb/pi² (440 Pa).</w:t>
      </w:r>
    </w:p>
    <w:p w14:paraId="355F57CB" w14:textId="77777777" w:rsidR="00CA3C1F" w:rsidRDefault="00000000">
      <w:pPr>
        <w:pStyle w:val="Heading5"/>
      </w:pPr>
      <w:r>
        <w:t>NX-8910 Portes de terrasse (intérieures</w:t>
      </w:r>
      <w:proofErr w:type="gramStart"/>
      <w:r>
        <w:t>)..</w:t>
      </w:r>
      <w:proofErr w:type="gramEnd"/>
    </w:p>
    <w:p w14:paraId="25B7E169" w14:textId="77777777" w:rsidR="00CA3C1F" w:rsidRDefault="00000000">
      <w:pPr>
        <w:pStyle w:val="Heading6"/>
      </w:pPr>
      <w:r>
        <w:t>AW-PG50-ATD Simple (seuil standard) 10 lb/pi² (480 Pa).</w:t>
      </w:r>
    </w:p>
    <w:p w14:paraId="1A4F4ABE" w14:textId="77777777" w:rsidR="00CA3C1F" w:rsidRDefault="00000000">
      <w:pPr>
        <w:pStyle w:val="Heading3"/>
      </w:pPr>
      <w:r>
        <w:t>Charge uniforme :</w:t>
      </w:r>
    </w:p>
    <w:p w14:paraId="6EF32D71" w14:textId="77777777" w:rsidR="00CA3C1F" w:rsidRDefault="00000000">
      <w:pPr>
        <w:pStyle w:val="Heading4"/>
      </w:pPr>
      <w:r>
        <w:t xml:space="preserve">Lorsque fermé et verrouillé, l'échantillon doit être soumis aux essais effectués conformément à la norme ASTM E 330, à une pression statique minimale admissible de 90 psf (4309 Pa) </w:t>
      </w:r>
      <w:r>
        <w:lastRenderedPageBreak/>
        <w:t>appliquée dans le cas de portes simples, et de 65 psf (3112 Pa) appliquée dans le cas de paires de portes, dans le sens positif, puis dans le sens négatif.</w:t>
      </w:r>
    </w:p>
    <w:p w14:paraId="022340C4" w14:textId="77777777" w:rsidR="00CA3C1F" w:rsidRDefault="00000000">
      <w:pPr>
        <w:pStyle w:val="Heading5"/>
      </w:pPr>
      <w:r>
        <w:t>NX-8910 Portes de terrasse (extérieures).</w:t>
      </w:r>
    </w:p>
    <w:p w14:paraId="1D78444C" w14:textId="77777777" w:rsidR="00CA3C1F" w:rsidRDefault="00000000">
      <w:pPr>
        <w:pStyle w:val="Heading6"/>
      </w:pPr>
      <w:r>
        <w:t>AW-PG50-ATD Simple (seuil standard) 50 psf (2 394 Pa) appliqué dans une direction positive et négative.</w:t>
      </w:r>
    </w:p>
    <w:p w14:paraId="29E0C7B8" w14:textId="77777777" w:rsidR="00CA3C1F" w:rsidRDefault="00000000">
      <w:pPr>
        <w:pStyle w:val="Heading6"/>
      </w:pPr>
      <w:r>
        <w:t>ATD-HC45 Paire (seuil standard) 45 psf (2 155 Pa) appliqués dans le sens positif et négatif.</w:t>
      </w:r>
    </w:p>
    <w:p w14:paraId="2F5A997D" w14:textId="77777777" w:rsidR="00CA3C1F" w:rsidRDefault="00000000">
      <w:pPr>
        <w:pStyle w:val="Heading6"/>
      </w:pPr>
      <w:r>
        <w:t>ATD-HC45 Simple (seuil à profil bas) 45 psf (2 155 Pa) appliqué dans une direction positive et négative.</w:t>
      </w:r>
    </w:p>
    <w:p w14:paraId="41BF1A5D" w14:textId="77777777" w:rsidR="00CA3C1F" w:rsidRDefault="00000000">
      <w:pPr>
        <w:pStyle w:val="Heading5"/>
      </w:pPr>
      <w:r>
        <w:t>NX-8910 Portes de terrasse (intérieures</w:t>
      </w:r>
      <w:proofErr w:type="gramStart"/>
      <w:r>
        <w:t>)..</w:t>
      </w:r>
      <w:proofErr w:type="gramEnd"/>
    </w:p>
    <w:p w14:paraId="5B634656" w14:textId="77777777" w:rsidR="00CA3C1F" w:rsidRDefault="00000000">
      <w:pPr>
        <w:pStyle w:val="Heading6"/>
      </w:pPr>
      <w:r>
        <w:t>AW-PG50-ATD Simple (seuil standard) 50 psf (2 394 Pa) appliqué dans une direction positive et négative.</w:t>
      </w:r>
    </w:p>
    <w:p w14:paraId="0A8E484F" w14:textId="77777777" w:rsidR="00CA3C1F" w:rsidRDefault="00000000">
      <w:pPr>
        <w:pStyle w:val="Heading3"/>
      </w:pPr>
      <w:r>
        <w:t>Performance de test structurel :</w:t>
      </w:r>
    </w:p>
    <w:p w14:paraId="0F78A3DE" w14:textId="77777777" w:rsidR="00CA3C1F" w:rsidRDefault="00000000">
      <w:pPr>
        <w:pStyle w:val="Heading4"/>
      </w:pPr>
      <w:r>
        <w:t>Lorsque fermé et verrouillé, l'échantillon doit être soumis aux essais effectués conformément à la norme ASTM E 330, à une pression statique minimale admissible de 90 psf (4309 Pa) appliquée dans le cas de portes simples, et de 65 psf (3112 Pa) appliquée dans le cas de paires de portes, dans le sens positif, puis dans le sens négatif.</w:t>
      </w:r>
    </w:p>
    <w:p w14:paraId="223332B9" w14:textId="77777777" w:rsidR="00CA3C1F" w:rsidRDefault="00000000">
      <w:pPr>
        <w:pStyle w:val="Heading5"/>
      </w:pPr>
      <w:r>
        <w:t>NX-8910 Portes de terrasse (extérieures).</w:t>
      </w:r>
    </w:p>
    <w:p w14:paraId="212DAA17" w14:textId="77777777" w:rsidR="00CA3C1F" w:rsidRDefault="00000000">
      <w:pPr>
        <w:pStyle w:val="Heading6"/>
      </w:pPr>
      <w:r>
        <w:t>AW-PG50-ATD Simple (seuil standard) 75 lb/pi² (3 591 Pa) (1,5 x charge de conception) appliqué dans les directions positive et négative.</w:t>
      </w:r>
    </w:p>
    <w:p w14:paraId="6FE307C0" w14:textId="77777777" w:rsidR="00CA3C1F" w:rsidRDefault="00000000">
      <w:pPr>
        <w:pStyle w:val="Heading6"/>
      </w:pPr>
      <w:r>
        <w:t>ATD-HC45 Paire (seuil standard) 67,5 psf (3 232 Pa) (1,5 x charge de conception) appliquée dans une direction positive et négative.</w:t>
      </w:r>
    </w:p>
    <w:p w14:paraId="73AD30F5" w14:textId="77777777" w:rsidR="00CA3C1F" w:rsidRDefault="00000000">
      <w:pPr>
        <w:pStyle w:val="Heading6"/>
      </w:pPr>
      <w:r>
        <w:t>ATD-HC45 Simple (seuil à profil bas) 67,5 psf (3232 Pa) (1,5 x charge de conception) appliqué dans une direction positive et négative.</w:t>
      </w:r>
    </w:p>
    <w:p w14:paraId="563C0989" w14:textId="77777777" w:rsidR="00CA3C1F" w:rsidRDefault="00000000">
      <w:pPr>
        <w:pStyle w:val="Heading5"/>
      </w:pPr>
      <w:r>
        <w:t>NX-8910 Portes de terrasse (intérieures</w:t>
      </w:r>
      <w:proofErr w:type="gramStart"/>
      <w:r>
        <w:t>)..</w:t>
      </w:r>
      <w:proofErr w:type="gramEnd"/>
    </w:p>
    <w:p w14:paraId="5846A136" w14:textId="77777777" w:rsidR="00CA3C1F" w:rsidRDefault="00000000">
      <w:pPr>
        <w:pStyle w:val="Heading6"/>
      </w:pPr>
      <w:r>
        <w:t>AW-PG50-ATD Simple (seuil standard) 75 lb/pi² (3 591 Pa) (1,5 x charge de conception) appliqué dans les directions positive et négative.</w:t>
      </w:r>
    </w:p>
    <w:p w14:paraId="28A389A8" w14:textId="77777777" w:rsidR="00CA3C1F" w:rsidRDefault="00000000">
      <w:pPr>
        <w:pStyle w:val="Heading3"/>
      </w:pPr>
      <w:r>
        <w:t>Efficacité énergétique :</w:t>
      </w:r>
    </w:p>
    <w:p w14:paraId="24E4C13C" w14:textId="77777777" w:rsidR="00CA3C1F" w:rsidRDefault="00000000">
      <w:pPr>
        <w:pStyle w:val="Heading4"/>
      </w:pPr>
      <w:r>
        <w:t>Transmission thermique (coefficient U) :</w:t>
      </w:r>
    </w:p>
    <w:p w14:paraId="76D5CE0B" w14:textId="77777777" w:rsidR="00CA3C1F" w:rsidRDefault="00000000">
      <w:pPr>
        <w:pStyle w:val="Heading5"/>
      </w:pPr>
      <w:r>
        <w:t>Les coefficients relatifs à la transmission thermique sont basés sur l'utilisation de verre clair isolant de 25.4 mm (1 po) (verre à faible émissivité de 1/4 po; espace d'argon de ½ po; verre de 1/4 po).</w:t>
      </w:r>
    </w:p>
    <w:p w14:paraId="034E857E" w14:textId="77777777" w:rsidR="00CA3C1F" w:rsidRDefault="00000000">
      <w:pPr>
        <w:pStyle w:val="Heading5"/>
      </w:pPr>
      <w:r>
        <w:t>Lorsque soumis aux essais effectués conformément à la norme AAMA 1503, la transmission thermique (coefficient U) ne doit pas être supérieure à 0,49 BTU/h/pi</w:t>
      </w:r>
      <w:r>
        <w:rPr>
          <w:vertAlign w:val="superscript"/>
        </w:rPr>
        <w:t>2</w:t>
      </w:r>
      <w:r>
        <w:t>·°F).</w:t>
      </w:r>
    </w:p>
    <w:p w14:paraId="7663F23C" w14:textId="77777777" w:rsidR="00CA3C1F" w:rsidRDefault="00000000">
      <w:pPr>
        <w:pStyle w:val="Heading4"/>
      </w:pPr>
      <w:r>
        <w:t>Coefficient de résistance à la condensation (CRF) :</w:t>
      </w:r>
    </w:p>
    <w:p w14:paraId="7350E23B" w14:textId="77777777" w:rsidR="00CA3C1F" w:rsidRDefault="00000000">
      <w:pPr>
        <w:pStyle w:val="Heading5"/>
      </w:pPr>
      <w:r>
        <w:t>Les coefficients relatifs à la transmission thermique sont basés sur l'utilisation de verre clair isolant de 25.4 mm (1 po) (verre à faible émissivité de 1/4 po; espace d'argon de ½ po; verre de 1/4 po).</w:t>
      </w:r>
    </w:p>
    <w:p w14:paraId="0103DAB6" w14:textId="77777777" w:rsidR="00CA3C1F" w:rsidRDefault="00000000">
      <w:pPr>
        <w:pStyle w:val="Heading5"/>
      </w:pPr>
      <w:r>
        <w:t>Lorsque soumis aux essais effectués conformément à la norme AAMA 1503, le facteur de résistance à la condensation (CRF) ne doit pas être inférieur à 55</w:t>
      </w:r>
      <w:r>
        <w:rPr>
          <w:vertAlign w:val="subscript"/>
        </w:rPr>
        <w:t>cadre</w:t>
      </w:r>
      <w:r>
        <w:t> et 75</w:t>
      </w:r>
      <w:r>
        <w:rPr>
          <w:vertAlign w:val="subscript"/>
        </w:rPr>
        <w:t>verre</w:t>
      </w:r>
      <w:r>
        <w:t>.</w:t>
      </w:r>
    </w:p>
    <w:p w14:paraId="0BEA338A" w14:textId="77777777" w:rsidR="00CA3C1F" w:rsidRDefault="00000000">
      <w:pPr>
        <w:pStyle w:val="Heading3"/>
      </w:pPr>
      <w:r>
        <w:t>L’accès forcé :</w:t>
      </w:r>
    </w:p>
    <w:p w14:paraId="32C7EA2F" w14:textId="77777777" w:rsidR="00CA3C1F" w:rsidRDefault="00000000">
      <w:pPr>
        <w:pStyle w:val="Heading4"/>
      </w:pPr>
      <w:r>
        <w:t>Les portes de terrasse doivent respecter la norme ASTM F588, Catégorie 10.</w:t>
      </w:r>
    </w:p>
    <w:p w14:paraId="3A6FE321" w14:textId="77777777" w:rsidR="00CA3C1F" w:rsidRDefault="00000000">
      <w:pPr>
        <w:pStyle w:val="Heading2"/>
      </w:pPr>
      <w:bookmarkStart w:id="6" w:name="UUIDb486a5d3685f4b996a0664becab2b689"/>
      <w:r>
        <w:lastRenderedPageBreak/>
        <w:t>Soumissions :</w:t>
      </w:r>
      <w:bookmarkEnd w:id="6"/>
    </w:p>
    <w:p w14:paraId="71694735" w14:textId="77777777" w:rsidR="00CA3C1F" w:rsidRDefault="00000000">
      <w:pPr>
        <w:pStyle w:val="Heading3"/>
      </w:pPr>
      <w:r>
        <w:t>Données sur le produit :</w:t>
      </w:r>
    </w:p>
    <w:p w14:paraId="6EDDB915" w14:textId="77777777" w:rsidR="00CA3C1F" w:rsidRDefault="00000000">
      <w:pPr>
        <w:pStyle w:val="Heading4"/>
      </w:pPr>
      <w:r>
        <w:t>Pour chaque type de porte d'entrée à cadre en aluminium indiqué, incluez :</w:t>
      </w:r>
    </w:p>
    <w:p w14:paraId="4B124C25" w14:textId="77777777" w:rsidR="00CA3C1F" w:rsidRDefault="00000000">
      <w:pPr>
        <w:pStyle w:val="Heading5"/>
      </w:pPr>
      <w:r>
        <w:t>Détails de construction</w:t>
      </w:r>
    </w:p>
    <w:p w14:paraId="1800087A" w14:textId="77777777" w:rsidR="00CA3C1F" w:rsidRDefault="00000000">
      <w:pPr>
        <w:pStyle w:val="Heading5"/>
      </w:pPr>
      <w:r>
        <w:t>Descriptions des matériaux</w:t>
      </w:r>
    </w:p>
    <w:p w14:paraId="5451EC69" w14:textId="77777777" w:rsidR="00CA3C1F" w:rsidRDefault="00000000">
      <w:pPr>
        <w:pStyle w:val="Heading5"/>
      </w:pPr>
      <w:r>
        <w:t>Méthodes de fabrication</w:t>
      </w:r>
    </w:p>
    <w:p w14:paraId="65E76BE8" w14:textId="77777777" w:rsidR="00CA3C1F" w:rsidRDefault="00000000">
      <w:pPr>
        <w:pStyle w:val="Heading5"/>
      </w:pPr>
      <w:r>
        <w:t>Dimensions des composants et profilés individuels</w:t>
      </w:r>
    </w:p>
    <w:p w14:paraId="7A239578" w14:textId="77777777" w:rsidR="00CA3C1F" w:rsidRDefault="00000000">
      <w:pPr>
        <w:pStyle w:val="Heading5"/>
      </w:pPr>
      <w:r>
        <w:t>Matériel</w:t>
      </w:r>
    </w:p>
    <w:p w14:paraId="422A15E7" w14:textId="77777777" w:rsidR="00CA3C1F" w:rsidRDefault="00000000">
      <w:pPr>
        <w:pStyle w:val="Heading5"/>
      </w:pPr>
      <w:r>
        <w:t>Finitions</w:t>
      </w:r>
    </w:p>
    <w:p w14:paraId="63971BC1" w14:textId="77777777" w:rsidR="00CA3C1F" w:rsidRDefault="00000000">
      <w:pPr>
        <w:pStyle w:val="Heading5"/>
      </w:pPr>
      <w:r>
        <w:t>Instructions d'installation</w:t>
      </w:r>
    </w:p>
    <w:p w14:paraId="371096FA" w14:textId="77777777" w:rsidR="00CA3C1F" w:rsidRDefault="00000000">
      <w:pPr>
        <w:pStyle w:val="Heading4"/>
      </w:pPr>
      <w:r>
        <w:t>Contenus recyclés :</w:t>
      </w:r>
    </w:p>
    <w:p w14:paraId="574ACF80" w14:textId="79DE4D8A" w:rsidR="00CA3C1F" w:rsidRDefault="00780E6C">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6C42CCDD" w14:textId="605191E7" w:rsidR="00CA3C1F" w:rsidRDefault="00780E6C">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59BA1985" w14:textId="77777777" w:rsidR="00CA3C1F" w:rsidRDefault="00000000">
      <w:pPr>
        <w:pStyle w:val="Heading5"/>
      </w:pPr>
      <w:r>
        <w:t>Fournissez une documentation indiquant que l’aluminium a une teneur minimale en contenus recyclés (pré- et post-consommation) mixtes de 50 %.</w:t>
      </w:r>
    </w:p>
    <w:p w14:paraId="5371D80F" w14:textId="77777777" w:rsidR="00CA3C1F" w:rsidRDefault="00000000">
      <w:pPr>
        <w:pStyle w:val="Heading5"/>
      </w:pPr>
      <w:r>
        <w:t>Fournissez un document d’exemple illustrant une information spécifique au projet qui sera fournie après expédition du produit.</w:t>
      </w:r>
    </w:p>
    <w:p w14:paraId="517AA1FF" w14:textId="77777777" w:rsidR="00CA3C1F" w:rsidRDefault="00000000">
      <w:pPr>
        <w:pStyle w:val="Heading5"/>
      </w:pPr>
      <w:r>
        <w:t>Une fois le produit expédié, fournissez de l’information sur les contenus recyclés spécifiques au projet, notamment :</w:t>
      </w:r>
    </w:p>
    <w:p w14:paraId="68A598B6" w14:textId="77777777" w:rsidR="00CA3C1F" w:rsidRDefault="00000000">
      <w:pPr>
        <w:pStyle w:val="Heading6"/>
      </w:pPr>
      <w:r>
        <w:t>Indiquez les contenus recyclés, y compris la teneur en contenus recyclés (pré- et post-consommation) par unité de produit.</w:t>
      </w:r>
    </w:p>
    <w:p w14:paraId="33E07F98" w14:textId="77777777" w:rsidR="00CA3C1F" w:rsidRDefault="00000000">
      <w:pPr>
        <w:pStyle w:val="Heading6"/>
      </w:pPr>
      <w:r>
        <w:t>Indiquez la valeur relative en dollars du produit avec contenus recyclés par rapport à la valeur totale en dollars du produit inclus dans le projet.</w:t>
      </w:r>
    </w:p>
    <w:p w14:paraId="468BBF43" w14:textId="77777777" w:rsidR="00CA3C1F" w:rsidRDefault="00000000">
      <w:pPr>
        <w:pStyle w:val="Heading6"/>
      </w:pPr>
      <w:r>
        <w:t>Indiquez le lieu de récupération des contenus recyclés.</w:t>
      </w:r>
    </w:p>
    <w:p w14:paraId="7A354D65" w14:textId="77777777" w:rsidR="00CA3C1F" w:rsidRDefault="00000000">
      <w:pPr>
        <w:pStyle w:val="Heading6"/>
      </w:pPr>
      <w:r>
        <w:t>Indiquez le lieu du site de fabrication.</w:t>
      </w:r>
    </w:p>
    <w:p w14:paraId="69E716A6" w14:textId="77777777" w:rsidR="00CA3C1F" w:rsidRDefault="00000000">
      <w:pPr>
        <w:pStyle w:val="Heading4"/>
      </w:pPr>
      <w:r>
        <w:t>Déclaration environnementale du produit (DEP) :</w:t>
      </w:r>
    </w:p>
    <w:p w14:paraId="615CBAFD" w14:textId="77777777" w:rsidR="00CA3C1F" w:rsidRDefault="00000000">
      <w:pPr>
        <w:pStyle w:val="Heading5"/>
      </w:pPr>
      <w:r>
        <w:t>Inclure une DEP sur les extrusions d’aluminium.</w:t>
      </w:r>
    </w:p>
    <w:p w14:paraId="3D7E7033" w14:textId="77777777" w:rsidR="00CA3C1F" w:rsidRDefault="00000000">
      <w:pPr>
        <w:pStyle w:val="Heading3"/>
      </w:pPr>
      <w:r>
        <w:t>Dessins d’atelier :</w:t>
      </w:r>
    </w:p>
    <w:p w14:paraId="36A32AC5" w14:textId="77777777" w:rsidR="00CA3C1F" w:rsidRDefault="00000000">
      <w:pPr>
        <w:pStyle w:val="Heading4"/>
      </w:pPr>
      <w:r>
        <w:t>Plans</w:t>
      </w:r>
    </w:p>
    <w:p w14:paraId="2CACA408" w14:textId="77777777" w:rsidR="00CA3C1F" w:rsidRDefault="00000000">
      <w:pPr>
        <w:pStyle w:val="Heading4"/>
      </w:pPr>
      <w:r>
        <w:t>Élévations</w:t>
      </w:r>
    </w:p>
    <w:p w14:paraId="761D7FEC" w14:textId="77777777" w:rsidR="00CA3C1F" w:rsidRDefault="00000000">
      <w:pPr>
        <w:pStyle w:val="Heading4"/>
      </w:pPr>
      <w:r>
        <w:t>Sections</w:t>
      </w:r>
    </w:p>
    <w:p w14:paraId="64C189B4" w14:textId="77777777" w:rsidR="00CA3C1F" w:rsidRDefault="00000000">
      <w:pPr>
        <w:pStyle w:val="Heading4"/>
      </w:pPr>
      <w:r>
        <w:t>Détails</w:t>
      </w:r>
    </w:p>
    <w:p w14:paraId="6FCC99BA" w14:textId="77777777" w:rsidR="00CA3C1F" w:rsidRDefault="00000000">
      <w:pPr>
        <w:pStyle w:val="Heading4"/>
      </w:pPr>
      <w:r>
        <w:t>Matériel</w:t>
      </w:r>
    </w:p>
    <w:p w14:paraId="17325E86" w14:textId="77777777" w:rsidR="00CA3C1F" w:rsidRDefault="00000000">
      <w:pPr>
        <w:pStyle w:val="Heading4"/>
      </w:pPr>
      <w:r>
        <w:t>Pièces jointes à d’autres travaux</w:t>
      </w:r>
    </w:p>
    <w:p w14:paraId="0260E82A" w14:textId="77777777" w:rsidR="00CA3C1F" w:rsidRDefault="00000000">
      <w:pPr>
        <w:pStyle w:val="Heading4"/>
      </w:pPr>
      <w:r>
        <w:t>Dégagements opérationnels</w:t>
      </w:r>
    </w:p>
    <w:p w14:paraId="5AB7508C" w14:textId="77777777" w:rsidR="00CA3C1F" w:rsidRDefault="00000000">
      <w:pPr>
        <w:pStyle w:val="Heading4"/>
      </w:pPr>
      <w:r>
        <w:t>Détails de l'installation</w:t>
      </w:r>
    </w:p>
    <w:p w14:paraId="4599FB08" w14:textId="77777777" w:rsidR="00CA3C1F" w:rsidRDefault="00000000">
      <w:pPr>
        <w:pStyle w:val="Heading3"/>
      </w:pPr>
      <w:r>
        <w:t>Échantillons pour sélection initiale :</w:t>
      </w:r>
    </w:p>
    <w:p w14:paraId="3F40292A" w14:textId="77777777" w:rsidR="00CA3C1F" w:rsidRDefault="00000000">
      <w:pPr>
        <w:pStyle w:val="Heading4"/>
      </w:pPr>
      <w:r>
        <w:lastRenderedPageBreak/>
        <w:t>Fournissez des échantillons pour les unités avec des finitions de couleur appliquées en usine.</w:t>
      </w:r>
    </w:p>
    <w:p w14:paraId="1B780022" w14:textId="77777777" w:rsidR="00CA3C1F" w:rsidRDefault="00000000">
      <w:pPr>
        <w:pStyle w:val="Heading4"/>
      </w:pPr>
      <w:r>
        <w:t>Fournissez des échantillons de matériel et d'accessoires impliquant la sélection des couleurs.</w:t>
      </w:r>
    </w:p>
    <w:p w14:paraId="65A9E3F4" w14:textId="77777777" w:rsidR="00CA3C1F" w:rsidRDefault="00000000">
      <w:pPr>
        <w:pStyle w:val="Heading3"/>
      </w:pPr>
      <w:r>
        <w:t>Échantillons pour vérification :</w:t>
      </w:r>
    </w:p>
    <w:p w14:paraId="419AEC0B" w14:textId="77777777" w:rsidR="00CA3C1F" w:rsidRDefault="00000000">
      <w:pPr>
        <w:pStyle w:val="Heading4"/>
      </w:pPr>
      <w:r>
        <w:t>Fournissez un échantillon de vérification pour portes de terrasse avec cadre en aluminium et composants requis.</w:t>
      </w:r>
    </w:p>
    <w:p w14:paraId="6F5E4B1E" w14:textId="77777777" w:rsidR="00CA3C1F" w:rsidRDefault="00000000">
      <w:pPr>
        <w:pStyle w:val="Heading3"/>
      </w:pPr>
      <w:r>
        <w:t>Rapports sur les essais de produits :</w:t>
      </w:r>
    </w:p>
    <w:p w14:paraId="0F74B809" w14:textId="77777777" w:rsidR="00CA3C1F" w:rsidRDefault="00000000">
      <w:pPr>
        <w:pStyle w:val="Heading4"/>
      </w:pPr>
      <w:r>
        <w:t>Fournissez des rapports d'essai pour chaque type de porte d'entrée à cadre en aluminium utilisé dans le projet.</w:t>
      </w:r>
    </w:p>
    <w:p w14:paraId="0BC4E7BF" w14:textId="77777777" w:rsidR="00CA3C1F" w:rsidRDefault="00000000">
      <w:pPr>
        <w:pStyle w:val="Heading4"/>
      </w:pPr>
      <w:r>
        <w:t>Les rapports sur les essais doivent être basés sur une évaluation des essais exhaustifs réalisés par une agence d'essais pré-construction agréée.</w:t>
      </w:r>
    </w:p>
    <w:p w14:paraId="1BFB3FE3" w14:textId="77777777" w:rsidR="00CA3C1F" w:rsidRDefault="00000000">
      <w:pPr>
        <w:pStyle w:val="Heading4"/>
      </w:pPr>
      <w:r>
        <w:t>Les rapports sur les essais doivent indiquer la conformité aux exigences de performance.</w:t>
      </w:r>
    </w:p>
    <w:p w14:paraId="10CEB578" w14:textId="77777777" w:rsidR="00CA3C1F" w:rsidRDefault="00000000">
      <w:pPr>
        <w:pStyle w:val="Heading3"/>
      </w:pPr>
      <w:r>
        <w:t>Échantillon de fabrication :</w:t>
      </w:r>
    </w:p>
    <w:p w14:paraId="65147370" w14:textId="77777777" w:rsidR="00CA3C1F" w:rsidRDefault="00000000">
      <w:pPr>
        <w:pStyle w:val="Heading4"/>
      </w:pPr>
      <w:r>
        <w:t>Fournissez un échantillon de fabrication d'un coin composé d'un montant et d’un rail de porte, en utilisant des composants de taille normale et en montrant les détails suivants :</w:t>
      </w:r>
    </w:p>
    <w:p w14:paraId="5C9D8E64" w14:textId="77777777" w:rsidR="00CA3C1F" w:rsidRDefault="00000000">
      <w:pPr>
        <w:pStyle w:val="Heading5"/>
      </w:pPr>
      <w:r>
        <w:t>Menuiserie,</w:t>
      </w:r>
    </w:p>
    <w:p w14:paraId="236C7217" w14:textId="77777777" w:rsidR="00CA3C1F" w:rsidRDefault="00000000">
      <w:pPr>
        <w:pStyle w:val="Heading5"/>
      </w:pPr>
      <w:r>
        <w:t>Vitrage</w:t>
      </w:r>
    </w:p>
    <w:p w14:paraId="12619514" w14:textId="77777777" w:rsidR="00CA3C1F" w:rsidRDefault="00000000">
      <w:pPr>
        <w:pStyle w:val="Heading3"/>
      </w:pPr>
      <w:r>
        <w:t>Bordereau technique de quincaillerie de portes de terrasse :</w:t>
      </w:r>
    </w:p>
    <w:p w14:paraId="44A0E6FF" w14:textId="77777777" w:rsidR="00CA3C1F" w:rsidRDefault="00000000">
      <w:pPr>
        <w:pStyle w:val="Heading4"/>
      </w:pPr>
      <w:r>
        <w:t>Le calendrier doit être préparé par ou sous la supervision du fournisseur.</w:t>
      </w:r>
    </w:p>
    <w:p w14:paraId="6BCAB075" w14:textId="77777777" w:rsidR="00CA3C1F" w:rsidRDefault="00000000">
      <w:pPr>
        <w:pStyle w:val="Heading4"/>
      </w:pPr>
      <w:r>
        <w:t>Le calendrier doit détailler la fabrication et l'assemblage de que la quincaillerie de porte de terrasse, de même que les procédures et diagrammes.</w:t>
      </w:r>
    </w:p>
    <w:p w14:paraId="59E060F4" w14:textId="77777777" w:rsidR="00CA3C1F" w:rsidRDefault="00000000">
      <w:pPr>
        <w:pStyle w:val="Heading4"/>
      </w:pPr>
      <w:r>
        <w:t>Coordonner le bordereau technique final de quincaillerie des portes de terrasse avec les portes, cadres et travaux connexes afin que les caractéristiques de la quincaillerie des portes de terrasse (taille, épaisseur, côté, fonction et fini) soient adéquates.</w:t>
      </w:r>
    </w:p>
    <w:p w14:paraId="0FF45293" w14:textId="77777777" w:rsidR="00CA3C1F" w:rsidRDefault="00000000">
      <w:pPr>
        <w:pStyle w:val="Heading2"/>
      </w:pPr>
      <w:bookmarkStart w:id="7" w:name="UUID586bc6b7ad52c2737613e89a09a67357"/>
      <w:r>
        <w:t>Assurance qualité</w:t>
      </w:r>
      <w:bookmarkEnd w:id="7"/>
    </w:p>
    <w:p w14:paraId="2B109464" w14:textId="77777777" w:rsidR="00CA3C1F" w:rsidRDefault="00000000">
      <w:pPr>
        <w:pStyle w:val="Heading3"/>
      </w:pPr>
      <w:r>
        <w:t>Qualifications de l’installateur :</w:t>
      </w:r>
    </w:p>
    <w:p w14:paraId="361982A4" w14:textId="77777777" w:rsidR="00CA3C1F" w:rsidRDefault="00000000">
      <w:pPr>
        <w:pStyle w:val="Heading4"/>
      </w:pPr>
      <w:r>
        <w:t>L’installateur doit avoir installé avec succès des système identiques ou similaires requis pour le projet et d’autres projets de taille et portée similaires.</w:t>
      </w:r>
    </w:p>
    <w:p w14:paraId="0BB59DE8" w14:textId="77777777" w:rsidR="00CA3C1F" w:rsidRDefault="00000000">
      <w:pPr>
        <w:pStyle w:val="Heading3"/>
      </w:pPr>
      <w:r>
        <w:t>Qualifications du fabricant :</w:t>
      </w:r>
    </w:p>
    <w:p w14:paraId="517775F7" w14:textId="77777777" w:rsidR="00CA3C1F" w:rsidRDefault="00000000">
      <w:pPr>
        <w:pStyle w:val="Heading4"/>
      </w:pPr>
      <w:r>
        <w:t>Le fabricant doit être capable de fabriquer des portes d’entrée et devantures à cadre en aluminium qui répondent ou dépassent les exigences de performance annoncées.</w:t>
      </w:r>
    </w:p>
    <w:p w14:paraId="6EF576C5" w14:textId="77777777" w:rsidR="00CA3C1F" w:rsidRDefault="00000000">
      <w:pPr>
        <w:pStyle w:val="Heading4"/>
      </w:pPr>
      <w:r>
        <w:t>Le fabricant doit documenter cette performance en incluant des rapports d'essais et des calculs.</w:t>
      </w:r>
    </w:p>
    <w:p w14:paraId="59DA4EF0" w14:textId="77777777" w:rsidR="00CA3C1F" w:rsidRDefault="00000000">
      <w:pPr>
        <w:pStyle w:val="Heading3"/>
      </w:pPr>
      <w:r>
        <w:t>Limitations de source :</w:t>
      </w:r>
    </w:p>
    <w:p w14:paraId="27133245" w14:textId="77777777" w:rsidR="00CA3C1F" w:rsidRDefault="00000000">
      <w:pPr>
        <w:pStyle w:val="Heading4"/>
      </w:pPr>
      <w:r>
        <w:t>Obtenez un système de portes d’entrée à cadre en aluminium d’une seule source auprès d’un seul fabricant.</w:t>
      </w:r>
    </w:p>
    <w:p w14:paraId="267C35D1" w14:textId="77777777" w:rsidR="00CA3C1F" w:rsidRDefault="00000000">
      <w:pPr>
        <w:pStyle w:val="Heading3"/>
      </w:pPr>
      <w:r>
        <w:t>Options de produits :</w:t>
      </w:r>
    </w:p>
    <w:p w14:paraId="062967F9" w14:textId="77777777" w:rsidR="00CA3C1F" w:rsidRDefault="00000000">
      <w:pPr>
        <w:pStyle w:val="Heading4"/>
      </w:pPr>
      <w:r>
        <w:t xml:space="preserve">Les dessins indiquent la taille, les profilés et les dimensions des portes d'entrée à cadre en aluminium et sont basés sur le système spécifique indiqué. Reportez-vous à la section </w:t>
      </w:r>
      <w:r>
        <w:lastRenderedPageBreak/>
        <w:t>Exigences relatives aux produits de division 01. Ne modifiez pas les exigences de taille et de dimensions.</w:t>
      </w:r>
    </w:p>
    <w:p w14:paraId="7D867526" w14:textId="77777777" w:rsidR="00CA3C1F" w:rsidRDefault="00000000">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2A492DC3" w14:textId="77777777" w:rsidR="00CA3C1F" w:rsidRDefault="00000000">
      <w:pPr>
        <w:pStyle w:val="Heading3"/>
      </w:pPr>
      <w:r>
        <w:t>Maquettes :</w:t>
      </w:r>
    </w:p>
    <w:p w14:paraId="546D6E86" w14:textId="77777777" w:rsidR="00CA3C1F" w:rsidRDefault="00000000">
      <w:pPr>
        <w:pStyle w:val="Heading4"/>
      </w:pPr>
      <w:r>
        <w:t>construisez des maquettes pour vérifier les sélections faites dans les soumissions d’échantillons et pour montrer les effets esthétiques et définir des normes de qualité pour les matériaux et l’exécution.</w:t>
      </w:r>
    </w:p>
    <w:p w14:paraId="0535FEF9" w14:textId="77777777" w:rsidR="00CA3C1F" w:rsidRDefault="00000000">
      <w:pPr>
        <w:pStyle w:val="Heading4"/>
      </w:pPr>
      <w:r>
        <w:t>Construisez des maquettes pour les types de portes d’entrée à battants indiqués, dans les emplacements indiqués sur les dessins.</w:t>
      </w:r>
    </w:p>
    <w:p w14:paraId="03834657" w14:textId="77777777" w:rsidR="00CA3C1F" w:rsidRDefault="00000000">
      <w:pPr>
        <w:pStyle w:val="Heading3"/>
      </w:pPr>
      <w:r>
        <w:t>Conférence de pré-installation :</w:t>
      </w:r>
    </w:p>
    <w:p w14:paraId="5E2E2DB4" w14:textId="77777777" w:rsidR="00CA3C1F" w:rsidRDefault="00000000">
      <w:pPr>
        <w:pStyle w:val="Heading4"/>
      </w:pPr>
      <w:r>
        <w:t>Organisez une conférence sur le site du projet afin d’être en conformité avec les exigences de la section Division 01 Gestion et coordination du projet.</w:t>
      </w:r>
    </w:p>
    <w:p w14:paraId="2C9C31C7" w14:textId="77777777" w:rsidR="00CA3C1F" w:rsidRDefault="00000000">
      <w:pPr>
        <w:pStyle w:val="Heading2"/>
      </w:pPr>
      <w:bookmarkStart w:id="8" w:name="UUID1a5b346826de3bf157380c3a910cf9ec"/>
      <w:r>
        <w:t>Conditions du projet</w:t>
      </w:r>
      <w:bookmarkEnd w:id="8"/>
    </w:p>
    <w:p w14:paraId="7F2E5B88" w14:textId="77777777" w:rsidR="00CA3C1F" w:rsidRDefault="00000000">
      <w:pPr>
        <w:pStyle w:val="Heading3"/>
      </w:pPr>
      <w:r>
        <w:t>Mesures sur le terrain :</w:t>
      </w:r>
    </w:p>
    <w:p w14:paraId="307A721C" w14:textId="77777777" w:rsidR="00CA3C1F" w:rsidRDefault="00000000">
      <w:pPr>
        <w:pStyle w:val="Heading4"/>
      </w:pPr>
      <w:r>
        <w:t>Vérifiez les dimensions réelles de la porte de terrasse en aluminium et des ouvertures du cadre par des mesures sur le terrain avant la fabrication.</w:t>
      </w:r>
    </w:p>
    <w:p w14:paraId="64785FD5" w14:textId="77777777" w:rsidR="00CA3C1F" w:rsidRDefault="00000000">
      <w:pPr>
        <w:pStyle w:val="Heading4"/>
      </w:pPr>
      <w:r>
        <w:t>Indiquez les mesures sur les dessins d’atelier.</w:t>
      </w:r>
    </w:p>
    <w:p w14:paraId="7901490A" w14:textId="77777777" w:rsidR="00CA3C1F" w:rsidRDefault="00000000">
      <w:pPr>
        <w:pStyle w:val="Heading2"/>
      </w:pPr>
      <w:bookmarkStart w:id="9" w:name="UUIDe4d15b2786a9a7ea2fca0b9dc205d888"/>
      <w:r>
        <w:t>Garantie</w:t>
      </w:r>
      <w:bookmarkEnd w:id="9"/>
    </w:p>
    <w:p w14:paraId="415BFC98" w14:textId="77777777" w:rsidR="00CA3C1F" w:rsidRDefault="00000000">
      <w:pPr>
        <w:pStyle w:val="Heading3"/>
      </w:pPr>
      <w:r>
        <w:t>Envoyez la garantie standard du fabricant pour acceptation par le maître d’ouvrage.</w:t>
      </w:r>
    </w:p>
    <w:p w14:paraId="00F625B8" w14:textId="77777777" w:rsidR="00CA3C1F" w:rsidRDefault="00000000">
      <w:pPr>
        <w:pStyle w:val="Heading3"/>
      </w:pPr>
      <w:r>
        <w:t>Période de garantie :</w:t>
      </w:r>
    </w:p>
    <w:p w14:paraId="7E11B6CB" w14:textId="77777777" w:rsidR="00CA3C1F" w:rsidRDefault="00000000">
      <w:pPr>
        <w:pStyle w:val="Heading4"/>
      </w:pPr>
      <w:r>
        <w:t>Deux ans à compter de la date d’achèvement substantiel du projet, à condition toutefois que la garantie limitée ne doive en aucun cas commencer plus de six mois à compter de la date d’expédition par le fabricant.</w:t>
      </w:r>
    </w:p>
    <w:p w14:paraId="089E775F" w14:textId="77777777" w:rsidR="00CA3C1F" w:rsidRDefault="00000000">
      <w:pPr>
        <w:pStyle w:val="Heading1"/>
      </w:pPr>
      <w:bookmarkStart w:id="10" w:name="UUID4dcc5e36e65ab01b1f90736903033f5e"/>
      <w:r>
        <w:t>PRODUITS</w:t>
      </w:r>
      <w:bookmarkEnd w:id="10"/>
    </w:p>
    <w:p w14:paraId="42562CA3" w14:textId="77777777" w:rsidR="00CA3C1F" w:rsidRDefault="00000000">
      <w:pPr>
        <w:pStyle w:val="Heading2"/>
      </w:pPr>
      <w:bookmarkStart w:id="11" w:name="UUID3512b50537649ee5b23d26e57dddfe27"/>
      <w:r>
        <w:t>Fabricants</w:t>
      </w:r>
      <w:bookmarkEnd w:id="11"/>
    </w:p>
    <w:p w14:paraId="7EFB3ABC" w14:textId="77777777" w:rsidR="00CA3C1F" w:rsidRDefault="00000000">
      <w:pPr>
        <w:pStyle w:val="Heading3"/>
      </w:pPr>
      <w:r>
        <w:t>Produit à la base de la conception :</w:t>
      </w:r>
    </w:p>
    <w:p w14:paraId="0709301E" w14:textId="77777777" w:rsidR="00CA3C1F" w:rsidRDefault="00000000">
      <w:pPr>
        <w:pStyle w:val="Heading4"/>
      </w:pPr>
      <w:r>
        <w:t>Kawneer Company, Inc.</w:t>
      </w:r>
    </w:p>
    <w:p w14:paraId="06879F15" w14:textId="77777777" w:rsidR="00CA3C1F" w:rsidRDefault="00000000">
      <w:pPr>
        <w:pStyle w:val="Heading4"/>
      </w:pPr>
      <w:r>
        <w:t>NX-8900 Portes de Terrasse</w:t>
      </w:r>
    </w:p>
    <w:p w14:paraId="1BEE943D" w14:textId="77777777" w:rsidR="00CA3C1F" w:rsidRDefault="00000000">
      <w:pPr>
        <w:pStyle w:val="Heading5"/>
      </w:pPr>
      <w:r>
        <w:t>NX-8910 Portes de terrasse (extérieur)</w:t>
      </w:r>
    </w:p>
    <w:p w14:paraId="2AB9B710" w14:textId="77777777" w:rsidR="00CA3C1F" w:rsidRDefault="00000000">
      <w:pPr>
        <w:pStyle w:val="Heading5"/>
      </w:pPr>
      <w:r>
        <w:t>NX-8920 Portes de terrasse (intérieur)</w:t>
      </w:r>
    </w:p>
    <w:p w14:paraId="31B09E8E" w14:textId="77777777" w:rsidR="00CA3C1F" w:rsidRDefault="00000000">
      <w:pPr>
        <w:pStyle w:val="Heading5"/>
      </w:pPr>
      <w:r>
        <w:t>Profil du membre d’entrée : Dimension nominale de la face de 4-1/8" (104,7 mm), profondeur de 2-3/4" (69,8).</w:t>
      </w:r>
    </w:p>
    <w:p w14:paraId="5FBF7AD6" w14:textId="77777777" w:rsidR="00CA3C1F" w:rsidRDefault="00000000">
      <w:pPr>
        <w:pStyle w:val="Heading5"/>
      </w:pPr>
      <w:r>
        <w:t>Les applications à circulation moyenne</w:t>
      </w:r>
    </w:p>
    <w:p w14:paraId="4FD847FF" w14:textId="77777777" w:rsidR="00CA3C1F" w:rsidRDefault="00000000">
      <w:pPr>
        <w:pStyle w:val="Heading5"/>
      </w:pPr>
      <w:r>
        <w:t>Profondeur de cadre : 3-1/4" (82,5 mm) ou 4-5/8" (117,5 mm )</w:t>
      </w:r>
    </w:p>
    <w:p w14:paraId="374EDCD3" w14:textId="77777777" w:rsidR="00CA3C1F" w:rsidRDefault="00000000">
      <w:pPr>
        <w:pStyle w:val="Heading3"/>
      </w:pPr>
      <w:r>
        <w:lastRenderedPageBreak/>
        <w:t>Sous réserve de conformité aux exigences, fournissez un produit comparable correspondant à l’information suivante :</w:t>
      </w:r>
    </w:p>
    <w:p w14:paraId="5DC163B1" w14:textId="345744FA" w:rsidR="00CA3C1F" w:rsidRDefault="00780E6C">
      <w:pPr>
        <w:pStyle w:val="BlockText"/>
        <w:numPr>
          <w:ilvl w:val="0"/>
          <w:numId w:val="3"/>
        </w:numPr>
      </w:pPr>
      <w:r>
        <w:rPr>
          <w:b/>
        </w:rPr>
        <w:t xml:space="preserve">EDITOR NOTE: </w:t>
      </w:r>
      <w:proofErr w:type="spellStart"/>
      <w:r>
        <w:t>Fournissez</w:t>
      </w:r>
      <w:proofErr w:type="spellEnd"/>
      <w:r>
        <w:t xml:space="preserve"> les </w:t>
      </w:r>
      <w:proofErr w:type="spellStart"/>
      <w:proofErr w:type="gramStart"/>
      <w:r>
        <w:t>informations</w:t>
      </w:r>
      <w:proofErr w:type="spellEnd"/>
      <w:proofErr w:type="gramEnd"/>
      <w:r>
        <w:t xml:space="preserve"> ci-dessous indiquant les alternatives approuvées au produit de base de conception.</w:t>
      </w:r>
    </w:p>
    <w:p w14:paraId="5F1A78A2" w14:textId="77777777" w:rsidR="00CA3C1F" w:rsidRDefault="00000000">
      <w:pPr>
        <w:pStyle w:val="Heading4"/>
      </w:pPr>
      <w:r>
        <w:t>Fabricant : (__________)</w:t>
      </w:r>
    </w:p>
    <w:p w14:paraId="1592B7F2" w14:textId="77777777" w:rsidR="00CA3C1F" w:rsidRDefault="00000000">
      <w:pPr>
        <w:pStyle w:val="Heading4"/>
      </w:pPr>
      <w:r>
        <w:t>Série : (__________)</w:t>
      </w:r>
    </w:p>
    <w:p w14:paraId="38A77144" w14:textId="77777777" w:rsidR="00CA3C1F" w:rsidRDefault="00000000">
      <w:pPr>
        <w:pStyle w:val="Heading4"/>
      </w:pPr>
      <w:r>
        <w:t>Dimension du profil : (_________)</w:t>
      </w:r>
    </w:p>
    <w:p w14:paraId="0AB119F2" w14:textId="77777777" w:rsidR="00CA3C1F" w:rsidRDefault="00000000">
      <w:pPr>
        <w:pStyle w:val="Heading4"/>
      </w:pPr>
      <w:r>
        <w:t>Niveau de performance : (__________)</w:t>
      </w:r>
    </w:p>
    <w:p w14:paraId="473CFD08" w14:textId="77777777" w:rsidR="00CA3C1F" w:rsidRDefault="00000000">
      <w:pPr>
        <w:pStyle w:val="Heading3"/>
      </w:pPr>
      <w:r>
        <w:t>Substitutions :</w:t>
      </w:r>
    </w:p>
    <w:p w14:paraId="09C3E484" w14:textId="77777777" w:rsidR="00CA3C1F" w:rsidRDefault="00000000">
      <w:pPr>
        <w:pStyle w:val="Heading4"/>
      </w:pPr>
      <w:r>
        <w:t>Reportez-vous à la section Substitutions de division 01 pour les procédures et exigences de soumission.</w:t>
      </w:r>
    </w:p>
    <w:p w14:paraId="3B224FCE" w14:textId="77777777" w:rsidR="00CA3C1F" w:rsidRDefault="00000000">
      <w:pPr>
        <w:pStyle w:val="Heading4"/>
      </w:pPr>
      <w:r>
        <w:t>Substitutions pré-contrat (période de soumission) :</w:t>
      </w:r>
    </w:p>
    <w:p w14:paraId="2E5C5FFD" w14:textId="77777777" w:rsidR="00CA3C1F" w:rsidRDefault="00000000">
      <w:pPr>
        <w:pStyle w:val="Heading5"/>
      </w:pPr>
      <w:r>
        <w:t>soumettez les demandes écrites dix (10) jours avant la date de clôture de la soumission.</w:t>
      </w:r>
    </w:p>
    <w:p w14:paraId="28DB31B2" w14:textId="77777777" w:rsidR="00CA3C1F" w:rsidRDefault="00000000">
      <w:pPr>
        <w:pStyle w:val="Heading4"/>
      </w:pPr>
      <w:r>
        <w:t>Substitutions post-contrat (période de construction) :</w:t>
      </w:r>
    </w:p>
    <w:p w14:paraId="7C0E49C2" w14:textId="77777777" w:rsidR="00CA3C1F" w:rsidRDefault="00000000">
      <w:pPr>
        <w:pStyle w:val="Heading5"/>
      </w:pPr>
      <w:r>
        <w:t>soumettez une demande écrite afin d’éviter des retards d’installation et de construction.</w:t>
      </w:r>
    </w:p>
    <w:p w14:paraId="4B309E59" w14:textId="77777777" w:rsidR="00CA3C1F" w:rsidRDefault="00000000">
      <w:pPr>
        <w:pStyle w:val="Heading4"/>
      </w:pPr>
      <w:r>
        <w:t>Documentation et dessins du produit :</w:t>
      </w:r>
    </w:p>
    <w:p w14:paraId="23379460" w14:textId="77777777" w:rsidR="00CA3C1F" w:rsidRDefault="00000000">
      <w:pPr>
        <w:pStyle w:val="Heading5"/>
      </w:pPr>
      <w:r>
        <w:t>soumettez la documentation et les dessins du produit modifiés pour correspondre aux exigences particulières du projet et aux conditions des travaux.</w:t>
      </w:r>
    </w:p>
    <w:p w14:paraId="2643EAC3" w14:textId="77777777" w:rsidR="00CA3C1F" w:rsidRDefault="00000000">
      <w:pPr>
        <w:pStyle w:val="Heading4"/>
      </w:pPr>
      <w:r>
        <w:t>Certificats :</w:t>
      </w:r>
    </w:p>
    <w:p w14:paraId="1692040C" w14:textId="77777777" w:rsidR="00CA3C1F" w:rsidRDefault="00000000">
      <w:pPr>
        <w:pStyle w:val="Heading5"/>
      </w:pPr>
      <w:r>
        <w:t>soumettez le ou les certificat(s) attestant que le fabricant de substitution (1) s’engage à respecter les spécifications des critères de performance du système de porte et cadre de terrasse, et (2) est actif dans la conception, la production et la fabrication de portes et cadres de terrasse depuis au moins dix (10) ans. (</w:t>
      </w:r>
      <w:r>
        <w:rPr>
          <w:i/>
        </w:rPr>
        <w:t>Nom de la société</w:t>
      </w:r>
      <w:r>
        <w:t>)</w:t>
      </w:r>
    </w:p>
    <w:p w14:paraId="7AB20597" w14:textId="77777777" w:rsidR="00CA3C1F" w:rsidRDefault="00000000">
      <w:pPr>
        <w:pStyle w:val="Heading4"/>
      </w:pPr>
      <w:r>
        <w:t>Rapports sur les essais :</w:t>
      </w:r>
    </w:p>
    <w:p w14:paraId="1A8D6BC4" w14:textId="77777777" w:rsidR="00CA3C1F" w:rsidRDefault="00000000">
      <w:pPr>
        <w:pStyle w:val="Heading5"/>
      </w:pPr>
      <w:r>
        <w:t>soumettez des rapports d’essai vérifiant la conformité à chaque exigence d’essai que le projet exige.</w:t>
      </w:r>
    </w:p>
    <w:p w14:paraId="3E6C060F" w14:textId="77777777" w:rsidR="00CA3C1F" w:rsidRDefault="00000000">
      <w:pPr>
        <w:pStyle w:val="Heading4"/>
      </w:pPr>
      <w:r>
        <w:t>Échantillons :</w:t>
      </w:r>
    </w:p>
    <w:p w14:paraId="51314EB5" w14:textId="77777777" w:rsidR="00CA3C1F" w:rsidRDefault="00000000">
      <w:pPr>
        <w:pStyle w:val="Heading5"/>
      </w:pPr>
      <w:r>
        <w:t>fournissez des échantillons des sections de produits typiques et des échantillons de finitions dans les tailles standards du fabricant.</w:t>
      </w:r>
    </w:p>
    <w:p w14:paraId="6BA546C0" w14:textId="77777777" w:rsidR="00CA3C1F" w:rsidRDefault="00000000">
      <w:pPr>
        <w:pStyle w:val="Heading3"/>
      </w:pPr>
      <w:r>
        <w:t>Acceptation des substitutions :</w:t>
      </w:r>
    </w:p>
    <w:p w14:paraId="3E981B27" w14:textId="77777777" w:rsidR="00CA3C1F" w:rsidRDefault="00000000">
      <w:pPr>
        <w:pStyle w:val="Heading4"/>
      </w:pPr>
      <w:r>
        <w:t>l'Acceptation se fera sous forme écrite, comme un addendum ou une modification.</w:t>
      </w:r>
    </w:p>
    <w:p w14:paraId="6C56741E" w14:textId="77777777" w:rsidR="00CA3C1F" w:rsidRDefault="00000000">
      <w:pPr>
        <w:pStyle w:val="Heading4"/>
      </w:pPr>
      <w:r>
        <w:t>L’acceptation sera documentée par une commande rectificative formelle signée par le maître d’ouvrage et le maître d’œuvre.</w:t>
      </w:r>
    </w:p>
    <w:p w14:paraId="4BB191A4" w14:textId="77777777" w:rsidR="00CA3C1F" w:rsidRDefault="00000000">
      <w:pPr>
        <w:pStyle w:val="Heading2"/>
      </w:pPr>
      <w:bookmarkStart w:id="12" w:name="UUID5600a981f2dda6d0367f007ac13869ee"/>
      <w:r>
        <w:t>Matériaux</w:t>
      </w:r>
      <w:bookmarkEnd w:id="12"/>
    </w:p>
    <w:p w14:paraId="762D2C66" w14:textId="77777777" w:rsidR="00CA3C1F" w:rsidRDefault="00000000">
      <w:pPr>
        <w:pStyle w:val="Heading3"/>
      </w:pPr>
      <w:r>
        <w:t>Aluminium (portes de terrasse et composants) :</w:t>
      </w:r>
    </w:p>
    <w:p w14:paraId="3E0D2D81" w14:textId="77777777" w:rsidR="00CA3C1F" w:rsidRDefault="00000000">
      <w:pPr>
        <w:pStyle w:val="Heading4"/>
      </w:pPr>
      <w:r>
        <w:t>En alliage et trempé tel que recommandé par le fabricant pour le type d’utilisation et le fini indiqués.</w:t>
      </w:r>
    </w:p>
    <w:p w14:paraId="1A978FCC" w14:textId="77777777" w:rsidR="00CA3C1F" w:rsidRDefault="00000000">
      <w:pPr>
        <w:pStyle w:val="Heading4"/>
      </w:pPr>
      <w:r>
        <w:t>En conformité avec les exigences des Norme Visant les Matériaux Extrudés : ASTM B 221, en alliage 6063-T6 et trempé.</w:t>
      </w:r>
    </w:p>
    <w:p w14:paraId="43744818" w14:textId="77777777" w:rsidR="00CA3C1F" w:rsidRDefault="00000000">
      <w:pPr>
        <w:pStyle w:val="Heading4"/>
      </w:pPr>
      <w:r>
        <w:t>Contenus recyclés :</w:t>
      </w:r>
    </w:p>
    <w:p w14:paraId="6AB55803" w14:textId="12FE008B" w:rsidR="00CA3C1F" w:rsidRDefault="00780E6C">
      <w:pPr>
        <w:pStyle w:val="BlockText"/>
        <w:numPr>
          <w:ilvl w:val="1"/>
          <w:numId w:val="3"/>
        </w:numPr>
      </w:pPr>
      <w:r>
        <w:rPr>
          <w:b/>
        </w:rPr>
        <w:lastRenderedPageBreak/>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3EC9008B" w14:textId="3567802E" w:rsidR="00CA3C1F" w:rsidRDefault="00780E6C">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40269981" w14:textId="77777777" w:rsidR="00CA3C1F" w:rsidRDefault="00000000">
      <w:pPr>
        <w:pStyle w:val="Heading5"/>
      </w:pPr>
      <w:r>
        <w:t>Doivent avoir une teneur minimale en contenus recyclés (pré- et post-consommation) mixtes de 50 %.</w:t>
      </w:r>
    </w:p>
    <w:p w14:paraId="23DBCEDE" w14:textId="77777777" w:rsidR="00CA3C1F" w:rsidRDefault="00000000">
      <w:pPr>
        <w:pStyle w:val="Heading5"/>
      </w:pPr>
      <w:r>
        <w:t>Indiquez les contenus recyclés, y compris la teneur en contenus recyclés (pré- et post-consommation) par unité de produit.</w:t>
      </w:r>
    </w:p>
    <w:p w14:paraId="429BEECB" w14:textId="77777777" w:rsidR="00CA3C1F" w:rsidRDefault="00000000">
      <w:pPr>
        <w:pStyle w:val="Heading5"/>
      </w:pPr>
      <w:r>
        <w:t>Indiquez la valeur relative en dollars du produit avec contenus recyclés par rapport à la valeur totale en dollars du produit inclus dans le projet.</w:t>
      </w:r>
    </w:p>
    <w:p w14:paraId="7324BAE8" w14:textId="77777777" w:rsidR="00CA3C1F" w:rsidRDefault="00000000">
      <w:pPr>
        <w:pStyle w:val="Heading5"/>
      </w:pPr>
      <w:r>
        <w:t>Indiquez le lieu de récupération des contenus recyclés.</w:t>
      </w:r>
    </w:p>
    <w:p w14:paraId="63235C53" w14:textId="77777777" w:rsidR="00CA3C1F" w:rsidRDefault="00000000">
      <w:pPr>
        <w:pStyle w:val="Heading5"/>
      </w:pPr>
      <w:r>
        <w:t>Indiquez le lieu du site de fabrication.</w:t>
      </w:r>
    </w:p>
    <w:p w14:paraId="5E99DAB4" w14:textId="77777777" w:rsidR="00CA3C1F" w:rsidRDefault="00000000">
      <w:pPr>
        <w:pStyle w:val="Heading3"/>
      </w:pPr>
      <w:r>
        <w:t>Garnitures de vitrage/blocs d’appui :</w:t>
      </w:r>
    </w:p>
    <w:p w14:paraId="4F682393" w14:textId="77777777" w:rsidR="00CA3C1F" w:rsidRDefault="00000000">
      <w:pPr>
        <w:pStyle w:val="Heading4"/>
      </w:pPr>
      <w:r>
        <w:t>Système de vitrage standard du fabricant composé de garnitures de vitrage souples de couleur noire, de blocs d’appui et de cales de compensation ou d’espacement, fabriqués à partir d’un élastomère du type et de la dureté recommandés par le fabricant du système et des garnitures, conformément aux exigences de rendement du système.</w:t>
      </w:r>
    </w:p>
    <w:p w14:paraId="6929A5BA" w14:textId="77777777" w:rsidR="00CA3C1F" w:rsidRDefault="00000000">
      <w:pPr>
        <w:pStyle w:val="Heading3"/>
      </w:pPr>
      <w:r>
        <w:t>Fixations :</w:t>
      </w:r>
    </w:p>
    <w:p w14:paraId="7DC7BCEA" w14:textId="77777777" w:rsidR="00CA3C1F" w:rsidRDefault="00000000">
      <w:pPr>
        <w:pStyle w:val="Heading4"/>
      </w:pPr>
      <w:r>
        <w:t>Lorsqu‘elles sont apparentes, doivent être en acier inoxydable de la série 300.</w:t>
      </w:r>
    </w:p>
    <w:p w14:paraId="72A74FDF" w14:textId="77777777" w:rsidR="00CA3C1F" w:rsidRDefault="00000000">
      <w:pPr>
        <w:pStyle w:val="Heading3"/>
      </w:pPr>
      <w:r>
        <w:t>Garnitures d’étanchéité :</w:t>
      </w:r>
    </w:p>
    <w:p w14:paraId="17B00963" w14:textId="77777777" w:rsidR="00CA3C1F" w:rsidRDefault="00000000">
      <w:pPr>
        <w:pStyle w:val="Heading4"/>
      </w:pPr>
      <w:r>
        <w:t>Joint creux en élastomère thermoplastique (TPE) noir avec support rigide en polypropylène.</w:t>
      </w:r>
    </w:p>
    <w:p w14:paraId="5764D9AE" w14:textId="77777777" w:rsidR="00CA3C1F" w:rsidRDefault="00000000">
      <w:pPr>
        <w:pStyle w:val="Heading3"/>
      </w:pPr>
      <w:r>
        <w:t>Barrière thermique :</w:t>
      </w:r>
    </w:p>
    <w:p w14:paraId="52FFC353" w14:textId="77777777" w:rsidR="00CA3C1F" w:rsidRDefault="00000000">
      <w:pPr>
        <w:pStyle w:val="Heading4"/>
      </w:pPr>
      <w:r>
        <w:t>Il doit y avoir deux rangées continues de nylon 6/6 renforcé de verre polyamide au niveau des rails et des montants de la porte et du cadre.</w:t>
      </w:r>
    </w:p>
    <w:p w14:paraId="38F51C32" w14:textId="77777777" w:rsidR="00CA3C1F" w:rsidRDefault="00000000">
      <w:pPr>
        <w:pStyle w:val="Heading2"/>
      </w:pPr>
      <w:bookmarkStart w:id="13" w:name="UUID400562b5bcaf2012a207e469f81f382a"/>
      <w:r>
        <w:t>Système de cadre de devanture</w:t>
      </w:r>
      <w:bookmarkEnd w:id="13"/>
    </w:p>
    <w:p w14:paraId="2E478A39" w14:textId="77777777" w:rsidR="00CA3C1F" w:rsidRDefault="00000000">
      <w:pPr>
        <w:pStyle w:val="Heading3"/>
      </w:pPr>
      <w:r>
        <w:t>Fixations et accessoires :</w:t>
      </w:r>
    </w:p>
    <w:p w14:paraId="098E814E" w14:textId="77777777" w:rsidR="00CA3C1F" w:rsidRDefault="00000000">
      <w:pPr>
        <w:pStyle w:val="Heading4"/>
      </w:pPr>
      <w:r>
        <w:t>les fixations et accessoires standards du fabricant, résistants à la corrosion, sans tache, sans bavure, doivent être compatibles avec les matériaux adjacents.</w:t>
      </w:r>
    </w:p>
    <w:p w14:paraId="3B034396" w14:textId="77777777" w:rsidR="00CA3C1F" w:rsidRDefault="00000000">
      <w:pPr>
        <w:pStyle w:val="Heading4"/>
      </w:pPr>
      <w:r>
        <w:t>Si exposés, les fixations et accessoires doivent être en acier inoxydable.</w:t>
      </w:r>
    </w:p>
    <w:p w14:paraId="07449874" w14:textId="77777777" w:rsidR="00CA3C1F" w:rsidRDefault="00000000">
      <w:pPr>
        <w:pStyle w:val="Heading3"/>
      </w:pPr>
      <w:r>
        <w:t>Ancrages périmétriques :</w:t>
      </w:r>
    </w:p>
    <w:p w14:paraId="6D994E23" w14:textId="77777777" w:rsidR="00CA3C1F" w:rsidRDefault="00000000">
      <w:pPr>
        <w:pStyle w:val="Heading4"/>
      </w:pPr>
      <w:r>
        <w:t>lorsque des ancrages en acier sont utilisés, une isolation doit être fournie entre les parties en acier et celles en aluminium afin d’éviter une action galvanique.</w:t>
      </w:r>
    </w:p>
    <w:p w14:paraId="2D57972B" w14:textId="77777777" w:rsidR="00CA3C1F" w:rsidRDefault="00000000">
      <w:pPr>
        <w:pStyle w:val="Heading3"/>
      </w:pPr>
      <w:r>
        <w:t>Emballage, expédition, manutention et déchargement :</w:t>
      </w:r>
    </w:p>
    <w:p w14:paraId="144F093E" w14:textId="77777777" w:rsidR="00CA3C1F" w:rsidRDefault="00000000">
      <w:pPr>
        <w:pStyle w:val="Heading4"/>
      </w:pPr>
      <w:r>
        <w:t>livrez les matériaux dans les contenants d’origine du fabricant, non ouverts, non endommagés, avec les étiquettes d’identification intactes.</w:t>
      </w:r>
    </w:p>
    <w:p w14:paraId="372240FA" w14:textId="77777777" w:rsidR="00CA3C1F" w:rsidRDefault="00000000">
      <w:pPr>
        <w:pStyle w:val="Heading3"/>
      </w:pPr>
      <w:r>
        <w:t>Entreposage et protection :</w:t>
      </w:r>
    </w:p>
    <w:p w14:paraId="38238C2A" w14:textId="77777777" w:rsidR="00CA3C1F" w:rsidRDefault="00000000">
      <w:pPr>
        <w:pStyle w:val="Heading4"/>
      </w:pPr>
      <w:r>
        <w:t>entreposez les matériaux pour qu’ils soient protégés contre les intempéries.</w:t>
      </w:r>
    </w:p>
    <w:p w14:paraId="46C4FCD3" w14:textId="77777777" w:rsidR="00CA3C1F" w:rsidRDefault="00000000">
      <w:pPr>
        <w:pStyle w:val="Heading4"/>
      </w:pPr>
      <w:r>
        <w:lastRenderedPageBreak/>
        <w:t>Manipulez les matériaux et composants de manière à éviter tout dommage.</w:t>
      </w:r>
    </w:p>
    <w:p w14:paraId="0E241521" w14:textId="77777777" w:rsidR="00CA3C1F" w:rsidRDefault="00000000">
      <w:pPr>
        <w:pStyle w:val="Heading4"/>
      </w:pPr>
      <w:r>
        <w:t>Protégez les matériaux contre tout dommage occasionné par les éléments, les activités de construction et d’autres risques avant, pendant et après l’installation.</w:t>
      </w:r>
    </w:p>
    <w:p w14:paraId="194B4ABD" w14:textId="77777777" w:rsidR="00CA3C1F" w:rsidRDefault="00000000">
      <w:pPr>
        <w:pStyle w:val="Heading2"/>
      </w:pPr>
      <w:bookmarkStart w:id="14" w:name="UUID402447ed9d930cb25a91241dd5c92e33"/>
      <w:r>
        <w:t>Vitrage</w:t>
      </w:r>
      <w:bookmarkEnd w:id="14"/>
    </w:p>
    <w:p w14:paraId="787EED87" w14:textId="77777777" w:rsidR="00CA3C1F" w:rsidRDefault="00000000">
      <w:pPr>
        <w:pStyle w:val="Heading3"/>
      </w:pPr>
      <w:r>
        <w:t>Vitre et matériaux de vitrage :</w:t>
      </w:r>
    </w:p>
    <w:p w14:paraId="386B4F13" w14:textId="77777777" w:rsidR="00CA3C1F" w:rsidRDefault="00000000">
      <w:pPr>
        <w:pStyle w:val="Heading4"/>
      </w:pPr>
      <w:r>
        <w:t>Voir la division 08, section « Vitrage », pour les vitres et les exigences de vitrage applicables aux unités de portes de terrasse en aluminium.</w:t>
      </w:r>
    </w:p>
    <w:p w14:paraId="07C56FA3" w14:textId="77777777" w:rsidR="00CA3C1F" w:rsidRDefault="00000000">
      <w:pPr>
        <w:pStyle w:val="Heading3"/>
      </w:pPr>
      <w:r>
        <w:t>Système de vitrage :</w:t>
      </w:r>
    </w:p>
    <w:p w14:paraId="3C586AA0" w14:textId="77777777" w:rsidR="00CA3C1F" w:rsidRDefault="00000000">
      <w:pPr>
        <w:pStyle w:val="Heading4"/>
      </w:pPr>
      <w:r>
        <w:t>La méthode de vitrage doit être conforme aux normes du fabricant.</w:t>
      </w:r>
    </w:p>
    <w:p w14:paraId="26FF4E9F" w14:textId="77777777" w:rsidR="00CA3C1F" w:rsidRDefault="00000000">
      <w:pPr>
        <w:pStyle w:val="Heading4"/>
      </w:pPr>
      <w:r>
        <w:t>Le vitrage comprendra des parcloses à pression et un joint d'étanchéité conformément à la norme AAMA 702 ou ASTM C864.</w:t>
      </w:r>
    </w:p>
    <w:p w14:paraId="2B780314" w14:textId="77777777" w:rsidR="00CA3C1F" w:rsidRDefault="00000000">
      <w:pPr>
        <w:pStyle w:val="Heading2"/>
      </w:pPr>
      <w:bookmarkStart w:id="15" w:name="UUIDb26d61a75588b7b1c0883f814fecd4b3"/>
      <w:r>
        <w:t>Quincaillerie</w:t>
      </w:r>
      <w:bookmarkEnd w:id="15"/>
    </w:p>
    <w:p w14:paraId="361ADD86" w14:textId="77777777" w:rsidR="00CA3C1F" w:rsidRDefault="00000000">
      <w:pPr>
        <w:pStyle w:val="Heading3"/>
      </w:pPr>
      <w:r>
        <w:t>Quincaillerie générale requise :</w:t>
      </w:r>
    </w:p>
    <w:p w14:paraId="3FB12D8E" w14:textId="77777777" w:rsidR="00CA3C1F" w:rsidRDefault="00000000">
      <w:pPr>
        <w:pStyle w:val="Heading4"/>
      </w:pPr>
      <w:r>
        <w:t>Fournir la quincaillerie standard du fabricant.</w:t>
      </w:r>
    </w:p>
    <w:p w14:paraId="0B2D6C31" w14:textId="77777777" w:rsidR="00CA3C1F" w:rsidRDefault="00000000">
      <w:pPr>
        <w:pStyle w:val="Heading4"/>
      </w:pPr>
      <w:r>
        <w:t>Fournir la quincaillerie standard du fabricant faite d'aluminium, d'acier inoxydable ou d'un autre matériau résistant à la corrosion et compatible avec l'aluminium.</w:t>
      </w:r>
    </w:p>
    <w:p w14:paraId="689C51D7" w14:textId="77777777" w:rsidR="00CA3C1F" w:rsidRDefault="00000000">
      <w:pPr>
        <w:pStyle w:val="Heading4"/>
      </w:pPr>
      <w:r>
        <w:t>Fournir la quincaillerie conçue pour fonctionner efficacement, assurer une fermeture étanche et verrouiller de façon sécuritaire les portes de terrasse avec cadres en aluminium.</w:t>
      </w:r>
    </w:p>
    <w:p w14:paraId="4FFC8E3B" w14:textId="77777777" w:rsidR="00CA3C1F" w:rsidRDefault="00000000">
      <w:pPr>
        <w:pStyle w:val="Heading3"/>
      </w:pPr>
      <w:r>
        <w:t>Quincaillerie des entrées standard :</w:t>
      </w:r>
    </w:p>
    <w:p w14:paraId="5D774493" w14:textId="5EAD3A94" w:rsidR="00CA3C1F" w:rsidRDefault="00780E6C">
      <w:pPr>
        <w:pStyle w:val="BlockText"/>
        <w:numPr>
          <w:ilvl w:val="0"/>
          <w:numId w:val="3"/>
        </w:numPr>
      </w:pPr>
      <w:r>
        <w:rPr>
          <w:b/>
        </w:rPr>
        <w:t xml:space="preserve">EDITOR NOTE: </w:t>
      </w:r>
      <w:proofErr w:type="spellStart"/>
      <w:r>
        <w:t>Réviser</w:t>
      </w:r>
      <w:proofErr w:type="spellEnd"/>
      <w:r>
        <w:t xml:space="preserve"> ci-dessous la </w:t>
      </w:r>
      <w:proofErr w:type="spellStart"/>
      <w:r>
        <w:t>quincaillerie</w:t>
      </w:r>
      <w:proofErr w:type="spellEnd"/>
      <w:r>
        <w:t xml:space="preserve"> nécessaire pour chaque type d’entrée particulière. Kawneer vous recommande d’inclure les exigences relatives à la quincaillerie de finition dans cette section afin d’assurer une responsabilité unique et une coordination rapide. Si ces exigences doivent être fournies sous la section « Quincaillerie de finition » du cahier des charges, l’énoncé suivant doit être inclus : « Le fournisseur de quincaillerie de finition est chargé de fournir la quincaillerie physique au fabricant de l’entrée avant la fabrication et de coordonner les exigences de livraison de la quincaillerie avec le fabricant de la quincaillerie, l’entrepreneur général et le fabricant de l’entrée pour s’assurer que le projet de construction ne soit pas retardé. »</w:t>
      </w:r>
    </w:p>
    <w:p w14:paraId="438EAFB1" w14:textId="77777777" w:rsidR="00CA3C1F" w:rsidRDefault="00000000">
      <w:pPr>
        <w:pStyle w:val="Heading4"/>
      </w:pPr>
      <w:r>
        <w:t>Fournir les éléments de quincaillerie extra-robustes indiqués, selon les dimensions, la quantité et le type recommandés par le fabricant pour les entrées spécifiées.</w:t>
      </w:r>
    </w:p>
    <w:p w14:paraId="53F6EF8B" w14:textId="77777777" w:rsidR="00CA3C1F" w:rsidRDefault="00000000">
      <w:pPr>
        <w:pStyle w:val="Heading4"/>
      </w:pPr>
      <w:r>
        <w:t>Le fini des pièces apparentes doit s'harmoniser au fini de la porte, à moins d'indication contraire.</w:t>
      </w:r>
    </w:p>
    <w:p w14:paraId="435083F5" w14:textId="77777777" w:rsidR="00CA3C1F" w:rsidRDefault="00000000">
      <w:pPr>
        <w:pStyle w:val="Heading4"/>
      </w:pPr>
      <w:r>
        <w:t>Seuil :</w:t>
      </w:r>
    </w:p>
    <w:p w14:paraId="02E32D64" w14:textId="77777777" w:rsidR="00CA3C1F" w:rsidRDefault="00000000">
      <w:pPr>
        <w:pStyle w:val="Heading5"/>
      </w:pPr>
      <w:r>
        <w:t>Aluminium, avec fini s’harmonisant à la porte et au cadre.</w:t>
      </w:r>
    </w:p>
    <w:p w14:paraId="60511192" w14:textId="77777777" w:rsidR="00CA3C1F" w:rsidRDefault="00000000">
      <w:pPr>
        <w:pStyle w:val="Heading5"/>
      </w:pPr>
      <w:r>
        <w:t>Seuil thermique à profil bas en option.</w:t>
      </w:r>
    </w:p>
    <w:p w14:paraId="211BE962" w14:textId="77777777" w:rsidR="00CA3C1F" w:rsidRDefault="00000000">
      <w:pPr>
        <w:pStyle w:val="Heading4"/>
      </w:pPr>
      <w:r>
        <w:t>Charnières simples :</w:t>
      </w:r>
    </w:p>
    <w:p w14:paraId="46D508D4" w14:textId="77777777" w:rsidR="00CA3C1F" w:rsidRDefault="00000000">
      <w:pPr>
        <w:pStyle w:val="Heading5"/>
      </w:pPr>
      <w:r>
        <w:t>Fournir les charnières standards mortaisées du fabricant, c’est-à-dire les charnières en aluminium du haut, du bas et intermédiaire, réglables à trois positions.</w:t>
      </w:r>
    </w:p>
    <w:p w14:paraId="75C077A4" w14:textId="77777777" w:rsidR="00CA3C1F" w:rsidRDefault="00000000">
      <w:pPr>
        <w:pStyle w:val="Heading4"/>
      </w:pPr>
      <w:r>
        <w:t>Dispositif de contrôle de la porte :</w:t>
      </w:r>
    </w:p>
    <w:p w14:paraId="73BACB7B" w14:textId="77777777" w:rsidR="00CA3C1F" w:rsidRDefault="00000000">
      <w:pPr>
        <w:pStyle w:val="Heading5"/>
      </w:pPr>
      <w:r>
        <w:lastRenderedPageBreak/>
        <w:t xml:space="preserve">Se conformer aux recommandations du fabricant </w:t>
      </w:r>
      <w:proofErr w:type="gramStart"/>
      <w:r>
        <w:t>pour</w:t>
      </w:r>
      <w:proofErr w:type="gramEnd"/>
      <w:r>
        <w:t xml:space="preserve"> le choix du ferme-porte, en fonction de la dimension de la porte, son exposition aux intempéries, la fréquence d’utilisation prévue et les exigences d’accessibilité.</w:t>
      </w:r>
    </w:p>
    <w:p w14:paraId="601D2617" w14:textId="77777777" w:rsidR="00CA3C1F" w:rsidRDefault="00000000">
      <w:pPr>
        <w:pStyle w:val="Heading5"/>
      </w:pPr>
      <w:r>
        <w:t>Butoir de porte à la tête doit être en acier inoxydable avec butoir en caoutchouc monté dans la traverse supérieure du battant de porte.</w:t>
      </w:r>
    </w:p>
    <w:p w14:paraId="594B3CA9" w14:textId="77777777" w:rsidR="00CA3C1F" w:rsidRDefault="00000000">
      <w:pPr>
        <w:pStyle w:val="Heading4"/>
      </w:pPr>
      <w:r>
        <w:t>Quincaillerie de verrouillage :</w:t>
      </w:r>
    </w:p>
    <w:p w14:paraId="36630659" w14:textId="77777777" w:rsidR="00CA3C1F" w:rsidRDefault="00000000">
      <w:pPr>
        <w:pStyle w:val="Heading5"/>
      </w:pPr>
      <w:r>
        <w:t>Portes simples (s’ouvrant vers l’extérieur ou vers l‘intérieur) :</w:t>
      </w:r>
    </w:p>
    <w:p w14:paraId="0FF74DD7" w14:textId="77777777" w:rsidR="00CA3C1F" w:rsidRDefault="00000000">
      <w:pPr>
        <w:pStyle w:val="Heading6"/>
      </w:pPr>
      <w:r>
        <w:t>Feuille active : Boîtier de verrouillage multipoints en acier inoxydable composé de pênes ronds, d’un pêne demi-tour et d’un pêne dormant actionné par une béquille.</w:t>
      </w:r>
    </w:p>
    <w:p w14:paraId="1D71EBDA" w14:textId="77777777" w:rsidR="00CA3C1F" w:rsidRDefault="00000000">
      <w:pPr>
        <w:pStyle w:val="Heading6"/>
      </w:pPr>
      <w:r>
        <w:t>Feuille active : En option, boîtier de verrouillage à 5 points en acier inoxydable composé de pênes ronds, de pêne demi-tour, de pêne dormant et de pêne tireur activés par une béquille.</w:t>
      </w:r>
    </w:p>
    <w:p w14:paraId="3671CD42" w14:textId="77777777" w:rsidR="00CA3C1F" w:rsidRDefault="00000000">
      <w:pPr>
        <w:pStyle w:val="Heading5"/>
      </w:pPr>
      <w:r>
        <w:t>Paires de portes (s’ouvrant vers l’extérieur ou vers l‘intérieur) :</w:t>
      </w:r>
    </w:p>
    <w:p w14:paraId="46DC2642" w14:textId="77777777" w:rsidR="00CA3C1F" w:rsidRDefault="00000000">
      <w:pPr>
        <w:pStyle w:val="Heading6"/>
      </w:pPr>
      <w:r>
        <w:t>Feuille active : Boîtier de verrouillage multipoints en acier inoxydable composé de pênes ronds, d’un pêne demi-tour et d’un pêne dormant actionné par une béquille.</w:t>
      </w:r>
    </w:p>
    <w:p w14:paraId="06B47E2F" w14:textId="77777777" w:rsidR="00CA3C1F" w:rsidRDefault="00000000">
      <w:pPr>
        <w:pStyle w:val="Heading6"/>
      </w:pPr>
      <w:r>
        <w:t>Feuille inactive : Poignée factice avec pênes affleurants manuels dans la gâche de pêne affleurant en aluminium.</w:t>
      </w:r>
    </w:p>
    <w:p w14:paraId="55597A22" w14:textId="77777777" w:rsidR="00CA3C1F" w:rsidRDefault="00000000">
      <w:pPr>
        <w:pStyle w:val="Heading4"/>
      </w:pPr>
      <w:r>
        <w:t>Ensembles de garnitures :</w:t>
      </w:r>
    </w:p>
    <w:p w14:paraId="64AF58DE" w14:textId="77777777" w:rsidR="00CA3C1F" w:rsidRDefault="00000000">
      <w:pPr>
        <w:pStyle w:val="Heading5"/>
      </w:pPr>
      <w:r>
        <w:t>Poignée en laiton massif Hoppe avec écusson.</w:t>
      </w:r>
    </w:p>
    <w:p w14:paraId="35F139C8" w14:textId="77777777" w:rsidR="00CA3C1F" w:rsidRDefault="00000000">
      <w:pPr>
        <w:pStyle w:val="Heading6"/>
      </w:pPr>
      <w:r>
        <w:t>Style Rodos</w:t>
      </w:r>
    </w:p>
    <w:p w14:paraId="02426E2C" w14:textId="77777777" w:rsidR="00CA3C1F" w:rsidRDefault="00000000">
      <w:pPr>
        <w:pStyle w:val="Heading6"/>
      </w:pPr>
      <w:r>
        <w:t>Style Verona</w:t>
      </w:r>
    </w:p>
    <w:p w14:paraId="49895085" w14:textId="77777777" w:rsidR="00CA3C1F" w:rsidRDefault="00000000">
      <w:pPr>
        <w:pStyle w:val="Heading6"/>
      </w:pPr>
      <w:r>
        <w:t>Style Munich</w:t>
      </w:r>
    </w:p>
    <w:p w14:paraId="33E2E38C" w14:textId="77777777" w:rsidR="00CA3C1F" w:rsidRDefault="00000000">
      <w:pPr>
        <w:pStyle w:val="Heading6"/>
      </w:pPr>
      <w:r>
        <w:t>Style Nouvelle-Orléans</w:t>
      </w:r>
    </w:p>
    <w:p w14:paraId="22404B8D" w14:textId="77777777" w:rsidR="00CA3C1F" w:rsidRDefault="00000000">
      <w:pPr>
        <w:pStyle w:val="Heading6"/>
      </w:pPr>
      <w:r>
        <w:t>Style Toronto</w:t>
      </w:r>
    </w:p>
    <w:p w14:paraId="179F23F6" w14:textId="77777777" w:rsidR="00CA3C1F" w:rsidRDefault="00000000">
      <w:pPr>
        <w:pStyle w:val="Heading5"/>
      </w:pPr>
      <w:r>
        <w:t>Cylindre à clé et bouton-poucier compris :</w:t>
      </w:r>
    </w:p>
    <w:p w14:paraId="4F334FA3" w14:textId="77777777" w:rsidR="00CA3C1F" w:rsidRDefault="00000000">
      <w:pPr>
        <w:pStyle w:val="Heading6"/>
      </w:pPr>
      <w:r>
        <w:t>Portes simples : clé à l’extérieur; bouton-poucier à l’intérieur</w:t>
      </w:r>
    </w:p>
    <w:p w14:paraId="7E82EDB0" w14:textId="77777777" w:rsidR="00CA3C1F" w:rsidRDefault="00000000">
      <w:pPr>
        <w:pStyle w:val="Heading7"/>
      </w:pPr>
      <w:r>
        <w:t>Extérieur à clé / intérieur à bouton.</w:t>
      </w:r>
    </w:p>
    <w:p w14:paraId="7FE57218" w14:textId="77777777" w:rsidR="00CA3C1F" w:rsidRDefault="00000000">
      <w:pPr>
        <w:pStyle w:val="Heading6"/>
      </w:pPr>
      <w:r>
        <w:t>Paires de portes : battant actif – clé à l’extérieur avec bouton-poucier à l’intérieur ou battant actif : vierge à l’extérieur avec bouton-poucier à l’intérieur ou battant inactif : vierge à l’extérieur avec bouton-poucier à l’intérieur.</w:t>
      </w:r>
    </w:p>
    <w:p w14:paraId="2056F7FC" w14:textId="77777777" w:rsidR="00CA3C1F" w:rsidRDefault="00000000">
      <w:pPr>
        <w:pStyle w:val="Heading7"/>
      </w:pPr>
      <w:r>
        <w:t>Feuille active : Clé extérieure / bouton intérieur</w:t>
      </w:r>
    </w:p>
    <w:p w14:paraId="43743C5D" w14:textId="77777777" w:rsidR="00CA3C1F" w:rsidRDefault="00000000">
      <w:pPr>
        <w:pStyle w:val="Heading7"/>
      </w:pPr>
      <w:r>
        <w:t>Feuille active : Extérieur vierge / intérieur à bouton-poussoir</w:t>
      </w:r>
    </w:p>
    <w:p w14:paraId="5D3C9001" w14:textId="77777777" w:rsidR="00CA3C1F" w:rsidRDefault="00000000">
      <w:pPr>
        <w:pStyle w:val="Heading7"/>
      </w:pPr>
      <w:r>
        <w:t>Feuille inactive : Extérieur vierge / intérieur à bouton-poussoir</w:t>
      </w:r>
    </w:p>
    <w:p w14:paraId="776D567E" w14:textId="77777777" w:rsidR="00CA3C1F" w:rsidRDefault="00000000">
      <w:pPr>
        <w:pStyle w:val="Heading4"/>
      </w:pPr>
      <w:r>
        <w:t>Finis des ensembles de garnitures :</w:t>
      </w:r>
    </w:p>
    <w:p w14:paraId="389C21B3" w14:textId="77777777" w:rsidR="00CA3C1F" w:rsidRDefault="00000000">
      <w:pPr>
        <w:pStyle w:val="Heading5"/>
      </w:pPr>
      <w:r>
        <w:t>Laiton poli</w:t>
      </w:r>
    </w:p>
    <w:p w14:paraId="58C5A8AB" w14:textId="77777777" w:rsidR="00CA3C1F" w:rsidRDefault="00000000">
      <w:pPr>
        <w:pStyle w:val="Heading5"/>
      </w:pPr>
      <w:r>
        <w:t>Nickel satiné</w:t>
      </w:r>
    </w:p>
    <w:p w14:paraId="31E47D64" w14:textId="77777777" w:rsidR="00CA3C1F" w:rsidRDefault="00000000">
      <w:pPr>
        <w:pStyle w:val="Heading5"/>
      </w:pPr>
      <w:r>
        <w:t>Laiton antique</w:t>
      </w:r>
    </w:p>
    <w:p w14:paraId="25AB33EE" w14:textId="77777777" w:rsidR="00CA3C1F" w:rsidRDefault="00000000">
      <w:pPr>
        <w:pStyle w:val="Heading5"/>
      </w:pPr>
      <w:r>
        <w:t>Laiton huilé</w:t>
      </w:r>
    </w:p>
    <w:p w14:paraId="33F3F9B1" w14:textId="77777777" w:rsidR="00CA3C1F" w:rsidRDefault="00000000">
      <w:pPr>
        <w:pStyle w:val="Heading5"/>
      </w:pPr>
      <w:r>
        <w:t>Noir mat</w:t>
      </w:r>
    </w:p>
    <w:p w14:paraId="31BED90A" w14:textId="77777777" w:rsidR="00CA3C1F" w:rsidRDefault="00000000">
      <w:pPr>
        <w:pStyle w:val="Heading5"/>
      </w:pPr>
      <w:r>
        <w:t>Chrome poli</w:t>
      </w:r>
    </w:p>
    <w:p w14:paraId="01991107" w14:textId="77777777" w:rsidR="00CA3C1F" w:rsidRDefault="00000000">
      <w:pPr>
        <w:pStyle w:val="Heading5"/>
      </w:pPr>
      <w:r>
        <w:t>Blanc pur</w:t>
      </w:r>
    </w:p>
    <w:p w14:paraId="682EFC74" w14:textId="77777777" w:rsidR="00CA3C1F" w:rsidRDefault="00000000">
      <w:pPr>
        <w:pStyle w:val="Heading2"/>
      </w:pPr>
      <w:bookmarkStart w:id="16" w:name="UUIDb150d8b11ff0c368143917a1cbb581b5"/>
      <w:r>
        <w:lastRenderedPageBreak/>
        <w:t>Fabrication</w:t>
      </w:r>
      <w:bookmarkEnd w:id="16"/>
    </w:p>
    <w:p w14:paraId="6D97CFD9" w14:textId="77777777" w:rsidR="00CA3C1F" w:rsidRDefault="00000000">
      <w:pPr>
        <w:pStyle w:val="Heading3"/>
      </w:pPr>
      <w:r>
        <w:t>Exigences de fabrication du système d’entrée :</w:t>
      </w:r>
    </w:p>
    <w:p w14:paraId="740D97BD" w14:textId="77777777" w:rsidR="00CA3C1F" w:rsidRDefault="00000000">
      <w:pPr>
        <w:pStyle w:val="Heading4"/>
      </w:pPr>
      <w:r>
        <w:t>Les coins de porte doivent être soigneusement taillés en onglet et renforcés avec des blocs de coin extra-robustes en aluminium de façon à former un assemblage rigide et étanche.</w:t>
      </w:r>
    </w:p>
    <w:p w14:paraId="48831AAE" w14:textId="77777777" w:rsidR="00CA3C1F" w:rsidRDefault="00000000">
      <w:pPr>
        <w:pStyle w:val="Heading4"/>
      </w:pPr>
      <w:r>
        <w:t>Les coins doivent être sertis.</w:t>
      </w:r>
    </w:p>
    <w:p w14:paraId="68A36A23" w14:textId="77777777" w:rsidR="00CA3C1F" w:rsidRDefault="00000000">
      <w:pPr>
        <w:pStyle w:val="Heading4"/>
      </w:pPr>
      <w:r>
        <w:t>Assembler les coins et les joints avec précision.</w:t>
      </w:r>
    </w:p>
    <w:p w14:paraId="602BB441" w14:textId="77777777" w:rsidR="00CA3C1F" w:rsidRDefault="00000000">
      <w:pPr>
        <w:pStyle w:val="Heading4"/>
      </w:pPr>
      <w:r>
        <w:t>Assembler les coins et les joints de manière à ce qu'ils présentent des lignes nettes.</w:t>
      </w:r>
    </w:p>
    <w:p w14:paraId="07AEFEE7" w14:textId="77777777" w:rsidR="00CA3C1F" w:rsidRDefault="00000000">
      <w:pPr>
        <w:pStyle w:val="Heading4"/>
      </w:pPr>
      <w:r>
        <w:t>Faire en sorte que les attaches et les dispositifs de fixation ne soient pas apparents.</w:t>
      </w:r>
    </w:p>
    <w:p w14:paraId="5F759CDD" w14:textId="77777777" w:rsidR="00CA3C1F" w:rsidRDefault="00000000">
      <w:pPr>
        <w:pStyle w:val="Heading2"/>
      </w:pPr>
      <w:bookmarkStart w:id="17" w:name="UUIDd5b4f5372533ad709e4990022918bf8b"/>
      <w:r>
        <w:t>Finitions de l’aluminium</w:t>
      </w:r>
      <w:bookmarkEnd w:id="17"/>
    </w:p>
    <w:p w14:paraId="3E0FA5EC" w14:textId="77777777" w:rsidR="00CA3C1F" w:rsidRDefault="00000000">
      <w:pPr>
        <w:pStyle w:val="Heading3"/>
      </w:pPr>
      <w:r>
        <w:t>Les désignations de finitions au préfixe AA sont conformes au système mis en place par l’Aluminum Association pour la désignation des finitions d’aluminium.</w:t>
      </w:r>
    </w:p>
    <w:p w14:paraId="795D2E31" w14:textId="77777777" w:rsidR="00CA3C1F" w:rsidRDefault="00000000">
      <w:pPr>
        <w:pStyle w:val="Heading3"/>
      </w:pPr>
      <w:r>
        <w:t>Finition d’usine :</w:t>
      </w:r>
    </w:p>
    <w:p w14:paraId="06C1F761" w14:textId="77777777" w:rsidR="00CA3C1F" w:rsidRDefault="00000000">
      <w:pPr>
        <w:pStyle w:val="Heading4"/>
      </w:pPr>
      <w:r>
        <w:t>Kawneer Permanodic® AA-M10C21A44 / AA-M45C22A44, AAMA 611, Classe architecturale I Revêtement anodisé de couleur (couleur __________)</w:t>
      </w:r>
    </w:p>
    <w:p w14:paraId="5A3BF52A" w14:textId="77777777" w:rsidR="00CA3C1F" w:rsidRDefault="00000000">
      <w:pPr>
        <w:pStyle w:val="Heading4"/>
      </w:pPr>
      <w:r>
        <w:t>Kawneer Permanodic® AA-M10C21A41 / AA-M45C22A41, AAMA 611, Classe architecturale I Revêtement anodisé transparent (couleur n° 14 transparent) (en option)</w:t>
      </w:r>
    </w:p>
    <w:p w14:paraId="49393D8D" w14:textId="77777777" w:rsidR="00CA3C1F" w:rsidRDefault="00000000">
      <w:pPr>
        <w:pStyle w:val="Heading4"/>
      </w:pPr>
      <w:r>
        <w:t>Kawneer Permanodic® AA-M10C21A31, AAMA 611, Classe architecturale II Revêtement anodisé transparent (couleur n° 17 transparent) (standard)</w:t>
      </w:r>
    </w:p>
    <w:p w14:paraId="33FB1647" w14:textId="77777777" w:rsidR="00CA3C1F" w:rsidRDefault="00000000">
      <w:pPr>
        <w:pStyle w:val="Heading4"/>
      </w:pPr>
      <w:r>
        <w:t>Kawneer Permafluor™ (70 % PVDF), AAMA 2605, revêtement fluoropolymère (Couleur __________)</w:t>
      </w:r>
    </w:p>
    <w:p w14:paraId="42926348" w14:textId="77777777" w:rsidR="00CA3C1F" w:rsidRDefault="00000000">
      <w:pPr>
        <w:pStyle w:val="Heading4"/>
      </w:pPr>
      <w:r>
        <w:t>Kawneer Permadize® (50 % PVDF), AAMA 2604, revêtement fluoropolymère (Couleur __________)</w:t>
      </w:r>
    </w:p>
    <w:p w14:paraId="04F7918F" w14:textId="77777777" w:rsidR="00CA3C1F" w:rsidRDefault="00000000">
      <w:pPr>
        <w:pStyle w:val="Heading4"/>
      </w:pPr>
      <w:r>
        <w:t>Autre : Fabricant ____________   Type ____________ (Couleur __________)</w:t>
      </w:r>
    </w:p>
    <w:p w14:paraId="2897CA9B" w14:textId="77777777" w:rsidR="00CA3C1F" w:rsidRDefault="00000000">
      <w:pPr>
        <w:pStyle w:val="Heading1"/>
      </w:pPr>
      <w:bookmarkStart w:id="18" w:name="UUIDc87007d1a2034e9b4015b7deb6d77914"/>
      <w:r>
        <w:t>EXÉCUTION</w:t>
      </w:r>
      <w:bookmarkEnd w:id="18"/>
    </w:p>
    <w:p w14:paraId="624463DD" w14:textId="77777777" w:rsidR="00CA3C1F" w:rsidRDefault="00000000">
      <w:pPr>
        <w:pStyle w:val="Heading2"/>
      </w:pPr>
      <w:bookmarkStart w:id="19" w:name="UUID157a21b1256c8fc70cd5eb93b122bca2"/>
      <w:r>
        <w:t>Examen</w:t>
      </w:r>
      <w:bookmarkEnd w:id="19"/>
    </w:p>
    <w:p w14:paraId="74B80107" w14:textId="77777777" w:rsidR="00CA3C1F" w:rsidRDefault="00000000">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520C7163" w14:textId="77777777" w:rsidR="00CA3C1F" w:rsidRDefault="00000000">
      <w:pPr>
        <w:pStyle w:val="Heading4"/>
      </w:pPr>
      <w:r>
        <w:t>Vérifiez les cotes des ouvertures brutes.</w:t>
      </w:r>
    </w:p>
    <w:p w14:paraId="4266C8F1" w14:textId="77777777" w:rsidR="00CA3C1F" w:rsidRDefault="00000000">
      <w:pPr>
        <w:pStyle w:val="Heading4"/>
      </w:pPr>
      <w:r>
        <w:t>Vérifiez le niveau de la plaque de seuil.</w:t>
      </w:r>
    </w:p>
    <w:p w14:paraId="7C37A78E" w14:textId="77777777" w:rsidR="00CA3C1F" w:rsidRDefault="00000000">
      <w:pPr>
        <w:pStyle w:val="Heading4"/>
      </w:pPr>
      <w:r>
        <w:t>Vérifier les dégagements opérationnels.</w:t>
      </w:r>
    </w:p>
    <w:p w14:paraId="7E23E2E6" w14:textId="77777777" w:rsidR="00CA3C1F" w:rsidRDefault="00000000">
      <w:pPr>
        <w:pStyle w:val="Heading4"/>
      </w:pPr>
      <w:r>
        <w:t>Examinez les solins muraux, les retardateurs de vapeur, les barrières d'eau et d’intempéries, ainsi que les autres composants intégrés pour assurer une bonne gestion de l'eau.</w:t>
      </w:r>
    </w:p>
    <w:p w14:paraId="41C49C8C" w14:textId="77777777" w:rsidR="00CA3C1F" w:rsidRDefault="00000000">
      <w:pPr>
        <w:pStyle w:val="Heading4"/>
      </w:pPr>
      <w:r>
        <w:t>Surfaces de maçonnerie :</w:t>
      </w:r>
    </w:p>
    <w:p w14:paraId="2EB67E9A" w14:textId="77777777" w:rsidR="00CA3C1F" w:rsidRDefault="00000000">
      <w:pPr>
        <w:pStyle w:val="Heading5"/>
      </w:pPr>
      <w:r>
        <w:t>Les surfaces de maçonnerie doivent être visiblement sèches et exemptes d'excès de mortier, de sable et d'autres débris de construction.</w:t>
      </w:r>
    </w:p>
    <w:p w14:paraId="2A23A852" w14:textId="77777777" w:rsidR="00CA3C1F" w:rsidRDefault="00000000">
      <w:pPr>
        <w:pStyle w:val="Heading4"/>
      </w:pPr>
      <w:r>
        <w:t>Murs en bois :</w:t>
      </w:r>
    </w:p>
    <w:p w14:paraId="34FD2B7B" w14:textId="77777777" w:rsidR="00CA3C1F" w:rsidRDefault="00000000">
      <w:pPr>
        <w:pStyle w:val="Heading5"/>
      </w:pPr>
      <w:r>
        <w:t>les murs du cadre en bois doivent être secs, propres, sains, bien cloués, exempts de vides et sans décalages au niveau des joints.</w:t>
      </w:r>
    </w:p>
    <w:p w14:paraId="6F79D16B" w14:textId="77777777" w:rsidR="00CA3C1F" w:rsidRDefault="00000000">
      <w:pPr>
        <w:pStyle w:val="Heading5"/>
      </w:pPr>
      <w:r>
        <w:lastRenderedPageBreak/>
        <w:t>S'assurer que les têtes de clou sont enfoncées au ras des surfaces de l'ouverture et à moins de 76,2 mm (3 po) de l'ouverture.</w:t>
      </w:r>
    </w:p>
    <w:p w14:paraId="2F63D781" w14:textId="77777777" w:rsidR="00CA3C1F" w:rsidRDefault="00000000">
      <w:pPr>
        <w:pStyle w:val="Heading4"/>
      </w:pPr>
      <w:r>
        <w:t>Surfaces métalliques :</w:t>
      </w:r>
    </w:p>
    <w:p w14:paraId="244F3D6B" w14:textId="77777777" w:rsidR="00CA3C1F" w:rsidRDefault="00000000">
      <w:pPr>
        <w:pStyle w:val="Heading5"/>
      </w:pPr>
      <w:r>
        <w:t>Les surfaces métalliques doivent être sèches et propres (exemptes de graisse, d'huile, de saleté, de rouille, de corrosion et de scories de soudage).</w:t>
      </w:r>
    </w:p>
    <w:p w14:paraId="0EF3E546" w14:textId="77777777" w:rsidR="00CA3C1F" w:rsidRDefault="00000000">
      <w:pPr>
        <w:pStyle w:val="Heading5"/>
      </w:pPr>
      <w:r>
        <w:t>S'assurer que les surfaces métalliques sont exemptes d'arêtes vives ou de décalages au niveau des joints.</w:t>
      </w:r>
    </w:p>
    <w:p w14:paraId="3DAF7922" w14:textId="77777777" w:rsidR="00CA3C1F" w:rsidRDefault="00000000">
      <w:pPr>
        <w:pStyle w:val="Heading3"/>
      </w:pPr>
      <w:r>
        <w:t>Ne réalisez l’installation qu’après avoir corrigé les conditions insatisfaisantes.</w:t>
      </w:r>
    </w:p>
    <w:p w14:paraId="0FC6EADE" w14:textId="77777777" w:rsidR="00CA3C1F" w:rsidRDefault="00000000">
      <w:pPr>
        <w:pStyle w:val="Heading2"/>
      </w:pPr>
      <w:bookmarkStart w:id="20" w:name="UUIDcab77dc962ba58be394b7d9f64996879"/>
      <w:r>
        <w:t>INSTALLATION</w:t>
      </w:r>
      <w:bookmarkEnd w:id="20"/>
    </w:p>
    <w:p w14:paraId="5D2CEE22" w14:textId="77777777" w:rsidR="00CA3C1F" w:rsidRDefault="00000000">
      <w:pPr>
        <w:pStyle w:val="Heading3"/>
      </w:pPr>
      <w:r>
        <w:t xml:space="preserve">Respecter les dessins, les dessins d'atelier et les instructions écrites du fabricant </w:t>
      </w:r>
      <w:proofErr w:type="gramStart"/>
      <w:r>
        <w:t>pour</w:t>
      </w:r>
      <w:proofErr w:type="gramEnd"/>
      <w:r>
        <w:t xml:space="preserve"> l'installation de portes de terrasse avec cadre en aluminium, de la quincaillerie, des accessoires et des autres composants.</w:t>
      </w:r>
    </w:p>
    <w:p w14:paraId="1FB883FE" w14:textId="77777777" w:rsidR="00CA3C1F" w:rsidRDefault="00000000">
      <w:pPr>
        <w:pStyle w:val="Heading3"/>
      </w:pPr>
      <w:r>
        <w:t>Installer les portes et les cadres de terrasse en aluminium de manière à ce que les portes et les cadres :</w:t>
      </w:r>
    </w:p>
    <w:p w14:paraId="04AC617F" w14:textId="77777777" w:rsidR="00CA3C1F" w:rsidRDefault="00000000">
      <w:pPr>
        <w:pStyle w:val="Heading4"/>
      </w:pPr>
      <w:r>
        <w:t>Sont de niveau, d’aplomb, à angle droit et parfaitement alignés</w:t>
      </w:r>
    </w:p>
    <w:p w14:paraId="6424FDC8" w14:textId="77777777" w:rsidR="00CA3C1F" w:rsidRDefault="00000000">
      <w:pPr>
        <w:pStyle w:val="Heading4"/>
      </w:pPr>
      <w:r>
        <w:t>Sont sans distorsion et n’empêchent pas le mouvement thermique</w:t>
      </w:r>
    </w:p>
    <w:p w14:paraId="7A28C7C8" w14:textId="77777777" w:rsidR="00CA3C1F" w:rsidRDefault="00000000">
      <w:pPr>
        <w:pStyle w:val="Heading4"/>
      </w:pPr>
      <w:r>
        <w:t>Sont ancrés solidement en place au support structural</w:t>
      </w:r>
    </w:p>
    <w:p w14:paraId="0985339A" w14:textId="77777777" w:rsidR="00CA3C1F" w:rsidRDefault="00000000">
      <w:pPr>
        <w:pStyle w:val="Heading4"/>
      </w:pPr>
      <w:r>
        <w:t>Sont en bonne relation par rapport au solin mural et aux autres constructions adjacentes</w:t>
      </w:r>
    </w:p>
    <w:p w14:paraId="56195CCE" w14:textId="77777777" w:rsidR="00CA3C1F" w:rsidRDefault="00000000">
      <w:pPr>
        <w:pStyle w:val="Heading3"/>
      </w:pPr>
      <w:r>
        <w:t xml:space="preserve">Fixer l’appui du seuil dans </w:t>
      </w:r>
      <w:proofErr w:type="gramStart"/>
      <w:r>
        <w:t>un lit</w:t>
      </w:r>
      <w:proofErr w:type="gramEnd"/>
      <w:r>
        <w:t xml:space="preserve"> de scellant, tel qu'indiqué, pour une construction imperméable.</w:t>
      </w:r>
    </w:p>
    <w:p w14:paraId="260A3E14" w14:textId="77777777" w:rsidR="00CA3C1F" w:rsidRDefault="00000000">
      <w:pPr>
        <w:pStyle w:val="Heading3"/>
      </w:pPr>
      <w:r>
        <w:t>Séparez l’aluminium et les autres surfaces susceptibles de se corroder des sources de corrosion ou d’action électrolytique aux points de contact avec d’autres matériaux.</w:t>
      </w:r>
    </w:p>
    <w:p w14:paraId="71FC46AD" w14:textId="77777777" w:rsidR="00CA3C1F" w:rsidRDefault="00000000">
      <w:pPr>
        <w:pStyle w:val="Heading2"/>
      </w:pPr>
      <w:bookmarkStart w:id="21" w:name="UUID31f700a392db7cda0b0d3b327c8e3dbe"/>
      <w:r>
        <w:t>Contrôle qualité sur le terrain</w:t>
      </w:r>
      <w:bookmarkEnd w:id="21"/>
    </w:p>
    <w:p w14:paraId="76304AA3" w14:textId="77777777" w:rsidR="00CA3C1F" w:rsidRDefault="00000000">
      <w:pPr>
        <w:pStyle w:val="Heading3"/>
      </w:pPr>
      <w:r>
        <w:t>Essais sur le terrain :</w:t>
      </w:r>
    </w:p>
    <w:p w14:paraId="35AC4FB8" w14:textId="77777777" w:rsidR="00CA3C1F" w:rsidRDefault="00000000">
      <w:pPr>
        <w:pStyle w:val="Heading4"/>
      </w:pPr>
      <w:r>
        <w:t>L’architecte choisira les portes de terrasse à cadre en aluminium qui feront l’objet d’un essai dès qu’une partie représentative du projet aura été installée, vitrée, calfeutrée sur le périmètre et durcie.</w:t>
      </w:r>
    </w:p>
    <w:p w14:paraId="2E7B0D1A" w14:textId="77777777" w:rsidR="00CA3C1F" w:rsidRDefault="00000000">
      <w:pPr>
        <w:pStyle w:val="Heading4"/>
      </w:pPr>
      <w:r>
        <w:t>Conduisez des essais d’infiltration d’air et de pénétration d’eau en présence du représentant du fabricant.</w:t>
      </w:r>
    </w:p>
    <w:p w14:paraId="41B26E52" w14:textId="77777777" w:rsidR="00CA3C1F" w:rsidRDefault="00000000">
      <w:pPr>
        <w:pStyle w:val="Heading4"/>
      </w:pPr>
      <w:r>
        <w:t>Les essais ne répondant pas aux exigences de performance spécifiées et les unités présentant des défaillances doivent être corrigés dans le cadre du montant défini dans le contrat.</w:t>
      </w:r>
    </w:p>
    <w:p w14:paraId="753F0B64" w14:textId="77777777" w:rsidR="00CA3C1F" w:rsidRDefault="00000000">
      <w:pPr>
        <w:pStyle w:val="Heading4"/>
      </w:pPr>
      <w:r>
        <w:t>Les essais doivent être réalisés selon la norme AAMA 502 par un laboratoire d’essai indépendant et qualifié. Reportez-vous à la section Essais pour le paiement des essais et les exigences relatives aux essais.</w:t>
      </w:r>
    </w:p>
    <w:p w14:paraId="0EA4DFBC" w14:textId="77777777" w:rsidR="00CA3C1F" w:rsidRDefault="00000000">
      <w:pPr>
        <w:pStyle w:val="Heading4"/>
      </w:pPr>
      <w:r>
        <w:t>Essais sur les infiltrations d’air :</w:t>
      </w:r>
    </w:p>
    <w:p w14:paraId="6627F20E" w14:textId="77777777" w:rsidR="00CA3C1F" w:rsidRDefault="00000000">
      <w:pPr>
        <w:pStyle w:val="Heading5"/>
      </w:pPr>
      <w:r>
        <w:t>faire des essais conformément à ASTM E 783.</w:t>
      </w:r>
    </w:p>
    <w:p w14:paraId="257DFD39" w14:textId="77777777" w:rsidR="00CA3C1F" w:rsidRDefault="00000000">
      <w:pPr>
        <w:pStyle w:val="Heading5"/>
      </w:pPr>
      <w:r>
        <w:t>Doit respecter une pression d’essai statique uniforme minimale de 75 Pa (1,6 psf).</w:t>
      </w:r>
    </w:p>
    <w:p w14:paraId="6D682A07" w14:textId="77777777" w:rsidR="00CA3C1F" w:rsidRDefault="00000000">
      <w:pPr>
        <w:pStyle w:val="Heading5"/>
      </w:pPr>
      <w:r>
        <w:lastRenderedPageBreak/>
        <w:t>L’infiltration d’air permise ne doit pas dépasser 1,5 fois la quantité indiquée dans les exigences de performance, soit 0,45 l/s · m² (0,09 PCM/pi</w:t>
      </w:r>
      <w:r>
        <w:rPr>
          <w:vertAlign w:val="superscript"/>
        </w:rPr>
        <w:t>2</w:t>
      </w:r>
      <w:r>
        <w:t>), selon la valeur la plus importante.</w:t>
      </w:r>
    </w:p>
    <w:p w14:paraId="502142D5" w14:textId="77777777" w:rsidR="00CA3C1F" w:rsidRDefault="00000000">
      <w:pPr>
        <w:pStyle w:val="Heading4"/>
      </w:pPr>
      <w:r>
        <w:t>Essais sur les infiltrations d’eau :</w:t>
      </w:r>
    </w:p>
    <w:p w14:paraId="270DBBA0" w14:textId="77777777" w:rsidR="00CA3C1F" w:rsidRDefault="00000000">
      <w:pPr>
        <w:pStyle w:val="Heading5"/>
      </w:pPr>
      <w:r>
        <w:t>faire des essais conformément à ASTM E 1105.</w:t>
      </w:r>
    </w:p>
    <w:p w14:paraId="54E39F39" w14:textId="77777777" w:rsidR="00CA3C1F" w:rsidRDefault="00000000">
      <w:pPr>
        <w:pStyle w:val="Heading5"/>
      </w:pPr>
      <w:r>
        <w:t>Aucune fuite d’eau incontrôlée n’est autorisée lorsque l’essai est effectué à une pression d’essai statique égale aux deux tiers de la pression de pénétration de l’eau spécifiée.</w:t>
      </w:r>
    </w:p>
    <w:p w14:paraId="3B602D17" w14:textId="77777777" w:rsidR="00CA3C1F" w:rsidRDefault="00000000">
      <w:pPr>
        <w:pStyle w:val="Heading3"/>
      </w:pPr>
      <w:r>
        <w:t>Services extérieurs du fabricant :</w:t>
      </w:r>
    </w:p>
    <w:p w14:paraId="73AEADF5" w14:textId="77777777" w:rsidR="00CA3C1F" w:rsidRDefault="00000000">
      <w:pPr>
        <w:pStyle w:val="Heading4"/>
      </w:pPr>
      <w:r>
        <w:t>sur demande écrite du maître d’ouvrage, le représentant des services extérieurs du fabricant doit proposer une visite périodique du site.</w:t>
      </w:r>
    </w:p>
    <w:p w14:paraId="0F5491B5" w14:textId="77777777" w:rsidR="00CA3C1F" w:rsidRDefault="00000000">
      <w:pPr>
        <w:pStyle w:val="Heading2"/>
      </w:pPr>
      <w:bookmarkStart w:id="22" w:name="UUID1ca045dca0761bcb58c5e82e3858ee04"/>
      <w:r>
        <w:t>Réglage, nettoyage et protection</w:t>
      </w:r>
      <w:bookmarkEnd w:id="22"/>
    </w:p>
    <w:p w14:paraId="3A66906A" w14:textId="77777777" w:rsidR="00CA3C1F" w:rsidRDefault="00000000">
      <w:pPr>
        <w:pStyle w:val="Heading3"/>
      </w:pPr>
      <w:r>
        <w:t>Réglage : non applicable.</w:t>
      </w:r>
    </w:p>
    <w:p w14:paraId="0BBF0D2D" w14:textId="77777777" w:rsidR="00CA3C1F" w:rsidRDefault="00000000">
      <w:pPr>
        <w:pStyle w:val="Heading3"/>
      </w:pPr>
      <w:r>
        <w:t>Nettoyage :</w:t>
      </w:r>
    </w:p>
    <w:p w14:paraId="3B692295" w14:textId="77777777" w:rsidR="00CA3C1F" w:rsidRDefault="00000000">
      <w:pPr>
        <w:pStyle w:val="Heading4"/>
      </w:pPr>
      <w:r>
        <w:t>Évitez d'endommager les revêtements et les finitions de protection.</w:t>
      </w:r>
    </w:p>
    <w:p w14:paraId="4B60808D" w14:textId="77777777" w:rsidR="00CA3C1F" w:rsidRDefault="00000000">
      <w:pPr>
        <w:pStyle w:val="Heading4"/>
      </w:pPr>
      <w:r>
        <w:t>Nettoyer les surfaces en aluminium immédiatement après l'installation.</w:t>
      </w:r>
    </w:p>
    <w:p w14:paraId="50307391" w14:textId="77777777" w:rsidR="00CA3C1F" w:rsidRDefault="00000000">
      <w:pPr>
        <w:pStyle w:val="Heading4"/>
      </w:pPr>
      <w:r>
        <w:t xml:space="preserve">Respectez les recommandations écrites du fabricant </w:t>
      </w:r>
      <w:proofErr w:type="gramStart"/>
      <w:r>
        <w:t>pour</w:t>
      </w:r>
      <w:proofErr w:type="gramEnd"/>
      <w:r>
        <w:t xml:space="preserve"> le nettoyage et l’entretien finaux.</w:t>
      </w:r>
    </w:p>
    <w:p w14:paraId="6DCE736A" w14:textId="77777777" w:rsidR="00CA3C1F" w:rsidRDefault="00000000">
      <w:pPr>
        <w:pStyle w:val="Heading4"/>
      </w:pPr>
      <w:r>
        <w:t>Retirez les étiquettes non permanentes et nettoyez les surfaces.</w:t>
      </w:r>
    </w:p>
    <w:p w14:paraId="242E9F5F" w14:textId="77777777" w:rsidR="00CA3C1F" w:rsidRDefault="00000000">
      <w:pPr>
        <w:pStyle w:val="Heading4"/>
      </w:pPr>
      <w:r>
        <w:t>Retirez l'excès de mastic, de matériaux de vitrage, de saleté et d'autres substances.</w:t>
      </w:r>
    </w:p>
    <w:p w14:paraId="2BA4CEB6" w14:textId="77777777" w:rsidR="00CA3C1F" w:rsidRDefault="00000000">
      <w:pPr>
        <w:pStyle w:val="Heading4"/>
      </w:pPr>
      <w:r>
        <w:t>Éliminez et remplacez le verre qui a été cassé, ébréché, fissuré, usé ou endommagé durant la période de construction.</w:t>
      </w:r>
    </w:p>
    <w:p w14:paraId="6C9AF5BB" w14:textId="77777777" w:rsidR="00CA3C1F" w:rsidRDefault="00000000">
      <w:pPr>
        <w:pStyle w:val="Heading4"/>
      </w:pPr>
      <w:r>
        <w:t>Retirez les débris de construction du site du projet et éliminez légalement les débris.</w:t>
      </w:r>
    </w:p>
    <w:p w14:paraId="0FD1EA11" w14:textId="77777777" w:rsidR="00CA3C1F" w:rsidRDefault="00000000">
      <w:pPr>
        <w:pStyle w:val="Heading3"/>
      </w:pPr>
      <w:r>
        <w:t>Protection :</w:t>
      </w:r>
    </w:p>
    <w:p w14:paraId="030D4DA5" w14:textId="77777777" w:rsidR="00CA3C1F" w:rsidRDefault="00000000">
      <w:pPr>
        <w:pStyle w:val="Heading4"/>
      </w:pPr>
      <w:proofErr w:type="spellStart"/>
      <w:r>
        <w:t>protégez</w:t>
      </w:r>
      <w:proofErr w:type="spellEnd"/>
      <w:r>
        <w:t xml:space="preserve"> les surfaces </w:t>
      </w:r>
      <w:proofErr w:type="spellStart"/>
      <w:r>
        <w:t>finies</w:t>
      </w:r>
      <w:proofErr w:type="spellEnd"/>
      <w:r>
        <w:t xml:space="preserve"> et installées des produits de tout endommagement durant la construction.</w:t>
      </w:r>
    </w:p>
    <w:p w14:paraId="306860A6" w14:textId="77777777" w:rsidR="00CA3C1F" w:rsidRDefault="00000000">
      <w:pPr>
        <w:pStyle w:val="Heading1"/>
      </w:pPr>
      <w:bookmarkStart w:id="23" w:name="UUID84961acfe939813bae1039c552828ccd"/>
      <w:r>
        <w:t>Fin de Section 084113</w:t>
      </w:r>
      <w:bookmarkEnd w:id="23"/>
    </w:p>
    <w:p w14:paraId="2F509281" w14:textId="75285C6A" w:rsidR="00CA3C1F" w:rsidRDefault="00780E6C" w:rsidP="00780E6C">
      <w:pPr>
        <w:pStyle w:val="Heading0"/>
        <w:spacing w:before="360"/>
      </w:pPr>
      <w:bookmarkStart w:id="24" w:name="UUID7f2e28a19ad8ae0cced998080e428041"/>
      <w:r>
        <w:br w:type="page"/>
      </w:r>
      <w:r>
        <w:lastRenderedPageBreak/>
        <w:t>Remarques et avertissements</w:t>
      </w:r>
      <w:bookmarkEnd w:id="24"/>
    </w:p>
    <w:p w14:paraId="4111334F" w14:textId="77777777" w:rsidR="00CA3C1F"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4BEA2C60" w14:textId="77777777" w:rsidR="00CA3C1F" w:rsidRDefault="00000000">
      <w:pPr>
        <w:pStyle w:val="BodyText"/>
      </w:pPr>
      <w:r>
        <w:t>Kawneer se réserve le droit de modifier la configuration sans préavis, lorsqu’elle le juge nécessaire pour l’amélioration du produit.</w:t>
      </w:r>
    </w:p>
    <w:p w14:paraId="71B52E12" w14:textId="77777777" w:rsidR="00CA3C1F"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4EB56884" w14:textId="77777777" w:rsidR="00CA3C1F"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20777316" w14:textId="77777777" w:rsidR="00CA3C1F"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2186D262" w14:textId="77777777" w:rsidR="00CA3C1F" w:rsidRDefault="00000000">
      <w:pPr>
        <w:pStyle w:val="BodyText"/>
      </w:pPr>
      <w:r>
        <w:t>© 2023, Kawneer Company, Inc.</w:t>
      </w:r>
    </w:p>
    <w:sectPr w:rsidR="00CA3C1F"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5117" w14:textId="77777777" w:rsidR="00FB05F5" w:rsidRDefault="00FB05F5">
      <w:pPr>
        <w:spacing w:before="0" w:line="240" w:lineRule="auto"/>
      </w:pPr>
      <w:r>
        <w:separator/>
      </w:r>
    </w:p>
  </w:endnote>
  <w:endnote w:type="continuationSeparator" w:id="0">
    <w:p w14:paraId="29C411F5" w14:textId="77777777" w:rsidR="00FB05F5" w:rsidRDefault="00FB05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6899849E" w14:textId="77777777" w:rsidTr="00A55746">
      <w:tc>
        <w:tcPr>
          <w:tcW w:w="1260" w:type="dxa"/>
        </w:tcPr>
        <w:p w14:paraId="0404C3EF" w14:textId="2FBADADD" w:rsidR="00CF5AAC" w:rsidRDefault="00000000" w:rsidP="003F53D7">
          <w:pPr>
            <w:pStyle w:val="Footer"/>
            <w:jc w:val="left"/>
          </w:pPr>
          <w:fldSimple w:instr=" DOCPROPERTY  &quot;Publish Date&quot; ">
            <w:r w:rsidR="00BF6300">
              <w:t>MARS 2023</w:t>
            </w:r>
          </w:fldSimple>
        </w:p>
        <w:p w14:paraId="45DD5C33" w14:textId="39293841" w:rsidR="005A4D24" w:rsidRDefault="00000000" w:rsidP="003F53D7">
          <w:pPr>
            <w:pStyle w:val="Footer"/>
            <w:jc w:val="left"/>
          </w:pPr>
          <w:fldSimple w:instr=" DOCPROPERTY  &quot;Product ID&quot;  \* MERGEFORMAT ">
            <w:r w:rsidR="00BF6300">
              <w:t>97909</w:t>
            </w:r>
          </w:fldSimple>
          <w:r>
            <w:t>-</w:t>
          </w:r>
          <w:fldSimple w:instr=" DOCPROPERTY  &quot;Product Level&quot;  \* MERGEFORMAT ">
            <w:r w:rsidR="00BF6300">
              <w:t>086</w:t>
            </w:r>
          </w:fldSimple>
        </w:p>
        <w:p w14:paraId="5826E917" w14:textId="61E2A44C"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BF6300">
            <w:rPr>
              <w:szCs w:val="18"/>
            </w:rPr>
            <w:t>SPCA300FC</w:t>
          </w:r>
          <w:r>
            <w:rPr>
              <w:szCs w:val="18"/>
            </w:rPr>
            <w:fldChar w:fldCharType="end"/>
          </w:r>
        </w:p>
      </w:tc>
      <w:tc>
        <w:tcPr>
          <w:tcW w:w="6030" w:type="dxa"/>
        </w:tcPr>
        <w:p w14:paraId="67C90C04" w14:textId="18C9DA61"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BF6300">
              <w:t>2015</w:t>
            </w:r>
          </w:fldSimple>
          <w:r w:rsidRPr="000B41E4">
            <w:t>, Kawneer Company, Inc.</w:t>
          </w:r>
          <w:r>
            <w:rPr>
              <w:noProof/>
            </w:rPr>
            <w:t xml:space="preserve"> </w:t>
          </w:r>
        </w:p>
      </w:tc>
      <w:tc>
        <w:tcPr>
          <w:tcW w:w="2880" w:type="dxa"/>
        </w:tcPr>
        <w:p w14:paraId="26DEEE8A" w14:textId="77777777" w:rsidR="00CF5AAC" w:rsidRDefault="00000000" w:rsidP="000B41E4">
          <w:pPr>
            <w:pStyle w:val="Footer"/>
          </w:pPr>
          <w:r>
            <w:rPr>
              <w:noProof/>
            </w:rPr>
            <w:drawing>
              <wp:inline distT="0" distB="0" distL="0" distR="0" wp14:anchorId="3477BC5D" wp14:editId="70820669">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171EBFD" w14:textId="77777777" w:rsidR="002976B1" w:rsidRDefault="00000000" w:rsidP="000B41E4">
          <w:pPr>
            <w:pStyle w:val="Footer"/>
          </w:pPr>
        </w:p>
        <w:p w14:paraId="1A772A2B" w14:textId="77777777" w:rsidR="002976B1" w:rsidRDefault="00000000" w:rsidP="000B41E4">
          <w:pPr>
            <w:pStyle w:val="Footer"/>
          </w:pPr>
        </w:p>
      </w:tc>
    </w:tr>
  </w:tbl>
  <w:p w14:paraId="648188CC"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5975" w14:textId="77777777" w:rsidR="00FB05F5" w:rsidRDefault="00FB05F5">
      <w:r>
        <w:separator/>
      </w:r>
    </w:p>
  </w:footnote>
  <w:footnote w:type="continuationSeparator" w:id="0">
    <w:p w14:paraId="2639D08F" w14:textId="77777777" w:rsidR="00FB05F5" w:rsidRDefault="00FB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2C23" w14:textId="605334C9"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BF6300">
      <w:rPr>
        <w:rFonts w:ascii="Arial" w:hAnsi="Arial" w:cs="Arial"/>
        <w:szCs w:val="20"/>
      </w:rPr>
      <w:t>Portes</w:t>
    </w:r>
    <w:proofErr w:type="spellEnd"/>
    <w:r w:rsidR="00BF6300">
      <w:rPr>
        <w:rFonts w:ascii="Arial" w:hAnsi="Arial" w:cs="Arial"/>
        <w:szCs w:val="20"/>
      </w:rPr>
      <w:t xml:space="preserve"> de terrasse de </w:t>
    </w:r>
    <w:proofErr w:type="spellStart"/>
    <w:r w:rsidR="00BF6300">
      <w:rPr>
        <w:rFonts w:ascii="Arial" w:hAnsi="Arial" w:cs="Arial"/>
        <w:szCs w:val="20"/>
      </w:rPr>
      <w:t>série</w:t>
    </w:r>
    <w:proofErr w:type="spellEnd"/>
    <w:r w:rsidR="00BF6300">
      <w:rPr>
        <w:rFonts w:ascii="Arial" w:hAnsi="Arial" w:cs="Arial"/>
        <w:szCs w:val="20"/>
      </w:rPr>
      <w:t xml:space="preserve"> NX-8900</w:t>
    </w:r>
    <w:r>
      <w:rPr>
        <w:rFonts w:ascii="Arial" w:hAnsi="Arial" w:cs="Arial"/>
        <w:szCs w:val="20"/>
      </w:rPr>
      <w:fldChar w:fldCharType="end"/>
    </w:r>
    <w:r>
      <w:rPr>
        <w:rFonts w:ascii="Arial" w:hAnsi="Arial" w:cs="Arial"/>
        <w:szCs w:val="20"/>
      </w:rPr>
      <w:tab/>
    </w:r>
    <w:proofErr w:type="spellStart"/>
    <w:r w:rsidR="00780E6C">
      <w:rPr>
        <w:rFonts w:ascii="Arial" w:hAnsi="Arial" w:cs="Arial"/>
        <w:szCs w:val="20"/>
      </w:rPr>
      <w:t>Spécifications</w:t>
    </w:r>
    <w:proofErr w:type="spellEnd"/>
    <w:r w:rsidR="00780E6C">
      <w:rPr>
        <w:rFonts w:ascii="Arial" w:hAnsi="Arial" w:cs="Arial"/>
        <w:szCs w:val="20"/>
      </w:rPr>
      <w:t xml:space="preserve"> du guide</w:t>
    </w:r>
  </w:p>
  <w:p w14:paraId="29E835C0" w14:textId="34FB7979"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BF6300">
      <w:rPr>
        <w:rFonts w:ascii="Arial" w:hAnsi="Arial" w:cs="Arial"/>
        <w:szCs w:val="20"/>
      </w:rPr>
      <w:t>SECTION 084113 - ENTRÉES ET DEVANTURES DE MAGASINS AVEC CADRES EN ALUMINIUM</w:t>
    </w:r>
    <w:r>
      <w:rPr>
        <w:rFonts w:ascii="Arial" w:hAnsi="Arial" w:cs="Arial"/>
        <w:szCs w:val="20"/>
      </w:rPr>
      <w:fldChar w:fldCharType="end"/>
    </w:r>
    <w:r>
      <w:rPr>
        <w:rFonts w:ascii="Arial" w:hAnsi="Arial" w:cs="Arial"/>
        <w:noProof/>
        <w:szCs w:val="20"/>
      </w:rPr>
      <w:pict w14:anchorId="3938007E">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9200B2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52063387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344333061">
    <w:abstractNumId w:val="1"/>
  </w:num>
  <w:num w:numId="3" w16cid:durableId="4127762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62A2E"/>
    <w:rsid w:val="004E29B3"/>
    <w:rsid w:val="00590D07"/>
    <w:rsid w:val="00780E6C"/>
    <w:rsid w:val="00784D58"/>
    <w:rsid w:val="008D6863"/>
    <w:rsid w:val="00961553"/>
    <w:rsid w:val="00A425DE"/>
    <w:rsid w:val="00B05FE0"/>
    <w:rsid w:val="00B36719"/>
    <w:rsid w:val="00B86B75"/>
    <w:rsid w:val="00BC48D5"/>
    <w:rsid w:val="00BF6300"/>
    <w:rsid w:val="00C36279"/>
    <w:rsid w:val="00CA3C1F"/>
    <w:rsid w:val="00E315A3"/>
    <w:rsid w:val="00FB05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678AFC6"/>
  <w15:docId w15:val="{5F864C01-6024-4434-8AD0-F1C8D8F8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5</cp:revision>
  <dcterms:created xsi:type="dcterms:W3CDTF">2023-03-09T13:13:00Z</dcterms:created>
  <dcterms:modified xsi:type="dcterms:W3CDTF">2023-03-09T14:52:00Z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2015</vt:lpwstr>
  </property>
  <property fmtid="{D5CDD505-2E9C-101B-9397-08002B2CF9AE}" pid="4" name="Product ID">
    <vt:lpwstr>97909</vt:lpwstr>
  </property>
  <property fmtid="{D5CDD505-2E9C-101B-9397-08002B2CF9AE}" pid="5" name="Publish Date">
    <vt:lpwstr>MARS 2023</vt:lpwstr>
  </property>
  <property fmtid="{D5CDD505-2E9C-101B-9397-08002B2CF9AE}" pid="6" name="Part Number">
    <vt:lpwstr>SPCA300FC</vt:lpwstr>
  </property>
  <property fmtid="{D5CDD505-2E9C-101B-9397-08002B2CF9AE}" pid="7" name="Product Level">
    <vt:lpwstr>086</vt:lpwstr>
  </property>
  <property fmtid="{D5CDD505-2E9C-101B-9397-08002B2CF9AE}" pid="8" name="Product Name">
    <vt:lpwstr>Specifications</vt:lpwstr>
  </property>
  <property fmtid="{D5CDD505-2E9C-101B-9397-08002B2CF9AE}" pid="9" name="CSI Description">
    <vt:lpwstr>SECTION 084113 - ENTRÉES ET DEVANTURES DE MAGASINS AVEC CADRES EN ALUMINIUM</vt:lpwstr>
  </property>
  <property fmtid="{D5CDD505-2E9C-101B-9397-08002B2CF9AE}" pid="10" name="Product Trademark Title">
    <vt:lpwstr>Portes de terrasse de série NX-8900</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NX-8900 Terrace Doors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2023-03-09T13:21:46Z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